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4B3628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0066" w:rsidRPr="00532DB8" w:rsidRDefault="000F38C1" w:rsidP="004B3628">
            <w:bookmarkStart w:id="0" w:name="Predmet"/>
            <w:bookmarkEnd w:id="0"/>
            <w:r w:rsidRPr="00532DB8">
              <w:t>Inteligentni sistemi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32DB8" w:rsidRDefault="000F38C1">
            <w:pPr>
              <w:rPr>
                <w:rFonts w:cs="Calibri"/>
              </w:rPr>
            </w:pPr>
            <w:bookmarkStart w:id="1" w:name="APredmet"/>
            <w:bookmarkEnd w:id="1"/>
            <w:r w:rsidRPr="00532DB8">
              <w:rPr>
                <w:rFonts w:cs="Calibri"/>
              </w:rPr>
              <w:t>Intelligent Systems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Vse</w:t>
            </w:r>
            <w:r w:rsidR="006F412C">
              <w:rPr>
                <w:rFonts w:cs="Calibri"/>
                <w:b/>
                <w:bCs/>
              </w:rPr>
              <w:t xml:space="preserve"> smeri</w:t>
            </w:r>
            <w:r>
              <w:rPr>
                <w:rFonts w:cs="Calibri"/>
                <w:b/>
                <w:bCs/>
              </w:rPr>
              <w:t>,</w:t>
            </w:r>
            <w:r w:rsidR="00530645">
              <w:rPr>
                <w:rFonts w:cs="Calibri"/>
                <w:b/>
                <w:bCs/>
              </w:rPr>
              <w:t xml:space="preserve"> Telekomunikacije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30645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0F38C1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All fields, </w:t>
            </w:r>
            <w:r w:rsidR="000F38C1">
              <w:rPr>
                <w:rFonts w:cs="Calibri"/>
                <w:b/>
                <w:bCs/>
              </w:rPr>
              <w:t>Telecommunications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53064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winter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68E" w:rsidRDefault="000B368E" w:rsidP="000B368E">
            <w:pPr>
              <w:rPr>
                <w:rFonts w:ascii="Times New Roman" w:eastAsia="Times New Roman" w:hAnsi="Times New Roman"/>
              </w:rPr>
            </w:pPr>
            <w:r>
              <w:rPr>
                <w:rFonts w:cs="Calibri"/>
              </w:rPr>
              <w:t xml:space="preserve">Obvezni in izbirni- strokovni/compulsory and </w:t>
            </w:r>
            <w:r>
              <w:t xml:space="preserve">elective professional </w:t>
            </w:r>
          </w:p>
          <w:p w:rsidR="006F412C" w:rsidRDefault="006F412C" w:rsidP="000B368E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0F38C1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8F1EB9">
              <w:rPr>
                <w:rFonts w:cs="Calibri"/>
              </w:rPr>
              <w:t>2</w:t>
            </w:r>
            <w:r w:rsidR="000F38C1">
              <w:rPr>
                <w:rFonts w:cs="Calibri"/>
              </w:rPr>
              <w:t>9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F38C1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F38C1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C67A9E" w:rsidP="008C0DEF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Matej Zajc</w:t>
            </w:r>
            <w:r w:rsidR="008C0DEF">
              <w:rPr>
                <w:rFonts w:cs="Calibri"/>
              </w:rPr>
              <w:t>, Marko Meža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567D4C" w:rsidP="00E549F2">
            <w:pPr>
              <w:rPr>
                <w:rFonts w:cs="Calibri"/>
              </w:rPr>
            </w:pPr>
            <w:r>
              <w:t>Vpis v letnik študija</w:t>
            </w:r>
            <w:r w:rsidR="000F38C1">
              <w:t xml:space="preserve">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E549F2" w:rsidP="006F412C">
            <w:pPr>
              <w:rPr>
                <w:lang w:val="en-GB"/>
              </w:rPr>
            </w:pPr>
            <w:r w:rsidRPr="00BB6925">
              <w:rPr>
                <w:rFonts w:cs="Calibri"/>
                <w:szCs w:val="22"/>
              </w:rPr>
              <w:t>Enrollment in the study year.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2C" w:rsidRPr="004B3628" w:rsidRDefault="00D66C29" w:rsidP="004B3628">
            <w:r w:rsidRPr="004B3628">
              <w:t xml:space="preserve">Inteligenca naravnih in umetnih sistemov: definicija inteligence in zgodovinski pregled razvoja inteligentnih sistemov. Matematične osnove in modeliranje  inteligentnih sistemov.  Inteligentni prostori: zmožnosti današnje tehnologije in obeti v prihodnje. Uporaba inteligence v informacijsko komunikacijskih sistemih: uporabniški vmesniki, inteligentni terminali, vsenavzočnost, identifikacija, modeliranje uporabnikov, rudarjenje s podatki, </w:t>
            </w:r>
            <w:proofErr w:type="spellStart"/>
            <w:r w:rsidRPr="004B3628">
              <w:lastRenderedPageBreak/>
              <w:t>personalizacija</w:t>
            </w:r>
            <w:proofErr w:type="spellEnd"/>
            <w:r w:rsidRPr="004B3628">
              <w:t>. Metode in algoritmi inteligentnih sistemov Analiza in modeliranje znanja ter metode učenja. Definicija referenčne arhitekture in razvoj inteligence sistema. Zgradba inteligentnega sistema: zajem podatkov, obdelava podatkov in odziv sistema.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3784C" w:rsidRDefault="00E549F2" w:rsidP="00742287">
            <w:pPr>
              <w:rPr>
                <w:rFonts w:asciiTheme="minorHAnsi" w:hAnsiTheme="minorHAnsi" w:cs="Calibri"/>
                <w:lang w:val="en-GB"/>
              </w:rPr>
            </w:pP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Intelligence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of natural and artificial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systems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: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historical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definition of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intelligence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and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overview of the development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of intelligent systems</w:t>
            </w:r>
            <w:r w:rsidR="001440CD">
              <w:rPr>
                <w:rFonts w:asciiTheme="minorHAnsi" w:hAnsiTheme="minorHAnsi" w:cs="Arial"/>
                <w:color w:val="222222"/>
                <w:lang w:val="en"/>
              </w:rPr>
              <w:t>. M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athematic</w:t>
            </w:r>
            <w:r w:rsidR="001440CD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al background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and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intelligent systems</w:t>
            </w:r>
            <w:r w:rsidR="006942CD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 modeling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, knowledge representation,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learning methods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.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Intelligent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spaces: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the ability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today's technology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and prospects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for the future.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The use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intelligence in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information and communication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systems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: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user interfaces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, intelligent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terminals,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ubiquity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, identification,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lastRenderedPageBreak/>
              <w:t>modeling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users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,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data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mining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, personalization.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Methods and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algorithms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of intelligent systems</w:t>
            </w:r>
            <w:r w:rsidR="00506668">
              <w:rPr>
                <w:rStyle w:val="hps"/>
                <w:rFonts w:asciiTheme="minorHAnsi" w:hAnsiTheme="minorHAnsi" w:cs="Arial"/>
                <w:color w:val="222222"/>
                <w:lang w:val="en"/>
              </w:rPr>
              <w:t>.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="00865AE3">
              <w:rPr>
                <w:rFonts w:asciiTheme="minorHAnsi" w:hAnsiTheme="minorHAnsi" w:cs="Arial"/>
                <w:color w:val="222222"/>
                <w:lang w:val="en"/>
              </w:rPr>
              <w:t>Knowledge a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nalysis</w:t>
            </w:r>
            <w:r w:rsidR="00865AE3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 and</w:t>
            </w:r>
            <w:r w:rsidR="002F5BD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modeling</w:t>
            </w:r>
            <w:r w:rsidR="002F5BDC">
              <w:rPr>
                <w:rFonts w:asciiTheme="minorHAnsi" w:hAnsiTheme="minorHAnsi" w:cs="Arial"/>
                <w:color w:val="222222"/>
                <w:lang w:val="en"/>
              </w:rPr>
              <w:t>, methods of</w:t>
            </w:r>
            <w:r w:rsidR="00B10642">
              <w:rPr>
                <w:rFonts w:asciiTheme="minorHAnsi" w:hAnsiTheme="minorHAnsi" w:cs="Arial"/>
                <w:color w:val="222222"/>
                <w:lang w:val="en"/>
              </w:rPr>
              <w:t xml:space="preserve"> learning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. </w:t>
            </w:r>
            <w:r w:rsidR="005E4A80">
              <w:rPr>
                <w:rFonts w:asciiTheme="minorHAnsi" w:hAnsiTheme="minorHAnsi" w:cs="Arial"/>
                <w:color w:val="222222"/>
                <w:lang w:val="en"/>
              </w:rPr>
              <w:t>D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efinition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the reference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architecture and development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system</w:t>
            </w:r>
            <w:r w:rsidR="005E4A80"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 intelligence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.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Building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intelligent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systems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: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data </w:t>
            </w:r>
            <w:r w:rsidR="00506668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acquisition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, </w:t>
            </w:r>
            <w:r w:rsidR="000E14C9">
              <w:rPr>
                <w:rFonts w:asciiTheme="minorHAnsi" w:hAnsiTheme="minorHAnsi" w:cs="Arial"/>
                <w:color w:val="222222"/>
                <w:lang w:val="en"/>
              </w:rPr>
              <w:t xml:space="preserve">data </w:t>
            </w:r>
            <w:r w:rsidR="00506668">
              <w:rPr>
                <w:rStyle w:val="hps"/>
                <w:rFonts w:asciiTheme="minorHAnsi" w:hAnsiTheme="minorHAnsi" w:cs="Arial"/>
                <w:color w:val="222222"/>
                <w:lang w:val="en"/>
              </w:rPr>
              <w:t>processing</w:t>
            </w:r>
            <w:r w:rsidR="00365521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, </w:t>
            </w:r>
            <w:r w:rsidR="00B10642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and </w:t>
            </w:r>
            <w:r w:rsidR="00365521">
              <w:rPr>
                <w:rFonts w:asciiTheme="minorHAnsi" w:hAnsiTheme="minorHAnsi" w:cs="Arial"/>
                <w:color w:val="222222"/>
                <w:lang w:val="en"/>
              </w:rPr>
              <w:t>s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ystem</w:t>
            </w:r>
            <w:r w:rsidR="00816D71">
              <w:rPr>
                <w:rStyle w:val="hps"/>
                <w:rFonts w:asciiTheme="minorHAnsi" w:hAnsiTheme="minorHAnsi" w:cs="Arial"/>
                <w:color w:val="222222"/>
                <w:lang w:val="en"/>
              </w:rPr>
              <w:t>’s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 response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>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37" w:rsidRPr="003F42F0" w:rsidRDefault="002F33A9" w:rsidP="00967B37">
            <w:pPr>
              <w:rPr>
                <w:rFonts w:asciiTheme="minorHAnsi" w:hAnsiTheme="minorHAnsi" w:cs="Arial"/>
                <w:color w:val="222222"/>
              </w:rPr>
            </w:pPr>
            <w:bookmarkStart w:id="5" w:name="Ucbeniki"/>
            <w:bookmarkEnd w:id="5"/>
            <w:r>
              <w:rPr>
                <w:rFonts w:asciiTheme="minorHAnsi" w:hAnsiTheme="minorHAnsi" w:cs="Arial"/>
                <w:color w:val="222222"/>
              </w:rPr>
              <w:t xml:space="preserve">1. </w:t>
            </w:r>
            <w:proofErr w:type="spellStart"/>
            <w:r w:rsidR="00967B37" w:rsidRPr="003F42F0">
              <w:rPr>
                <w:rFonts w:asciiTheme="minorHAnsi" w:hAnsiTheme="minorHAnsi" w:cs="Arial"/>
                <w:color w:val="222222"/>
              </w:rPr>
              <w:t>Hopgood</w:t>
            </w:r>
            <w:proofErr w:type="spellEnd"/>
            <w:r w:rsidR="00967B37" w:rsidRPr="003F42F0">
              <w:rPr>
                <w:rFonts w:asciiTheme="minorHAnsi" w:hAnsiTheme="minorHAnsi" w:cs="Arial"/>
                <w:color w:val="222222"/>
              </w:rPr>
              <w:t>, Adrian A. Intelligent systems for engineers and scientists. CRC press,</w:t>
            </w:r>
            <w:r w:rsidR="00742287">
              <w:rPr>
                <w:rFonts w:asciiTheme="minorHAnsi" w:hAnsiTheme="minorHAnsi" w:cs="Arial"/>
                <w:color w:val="222222"/>
              </w:rPr>
              <w:t xml:space="preserve"> 3. i</w:t>
            </w:r>
            <w:r w:rsidR="00967B37">
              <w:rPr>
                <w:rFonts w:asciiTheme="minorHAnsi" w:hAnsiTheme="minorHAnsi" w:cs="Arial"/>
                <w:color w:val="222222"/>
              </w:rPr>
              <w:t>zdaja,</w:t>
            </w:r>
            <w:r w:rsidR="00742287">
              <w:rPr>
                <w:rFonts w:asciiTheme="minorHAnsi" w:hAnsiTheme="minorHAnsi" w:cs="Arial"/>
                <w:color w:val="222222"/>
              </w:rPr>
              <w:t xml:space="preserve"> 2013</w:t>
            </w:r>
            <w:r w:rsidR="00967B37" w:rsidRPr="003F42F0">
              <w:rPr>
                <w:rFonts w:asciiTheme="minorHAnsi" w:hAnsiTheme="minorHAnsi" w:cs="Arial"/>
                <w:color w:val="222222"/>
              </w:rPr>
              <w:t>.</w:t>
            </w:r>
          </w:p>
          <w:p w:rsidR="0083784C" w:rsidRDefault="002F33A9" w:rsidP="004B3628">
            <w:r>
              <w:rPr>
                <w:noProof/>
              </w:rPr>
              <w:t xml:space="preserve">2. </w:t>
            </w:r>
            <w:bookmarkStart w:id="6" w:name="_GoBack"/>
            <w:bookmarkEnd w:id="6"/>
            <w:r w:rsidR="0083784C" w:rsidRPr="00CE3489">
              <w:rPr>
                <w:noProof/>
              </w:rPr>
              <w:t>A. Steventon, S. Wright, Intelligent Spaces: The Applica</w:t>
            </w:r>
            <w:r w:rsidR="0083784C">
              <w:rPr>
                <w:noProof/>
              </w:rPr>
              <w:t xml:space="preserve">tion of Pervasive ICT, </w:t>
            </w:r>
            <w:r w:rsidR="0083784C" w:rsidRPr="004B3628">
              <w:t>Springer</w:t>
            </w:r>
            <w:r w:rsidR="0083784C">
              <w:rPr>
                <w:noProof/>
              </w:rPr>
              <w:t>, 2005.</w:t>
            </w:r>
          </w:p>
          <w:p w:rsidR="00967B37" w:rsidRPr="004B3628" w:rsidRDefault="00967B37" w:rsidP="004B3628"/>
          <w:p w:rsidR="00FA09C6" w:rsidRPr="00567D4C" w:rsidRDefault="00FA09C6" w:rsidP="00967B37">
            <w:pPr>
              <w:rPr>
                <w:rFonts w:cs="Calibri"/>
                <w:b/>
                <w:bCs/>
              </w:rPr>
            </w:pP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D66C29" w:rsidP="004B3628">
            <w:r w:rsidRPr="00D66C29">
              <w:t xml:space="preserve">Razumevanje inteligence v sodobnih informacijsko-komunikacijskih </w:t>
            </w:r>
            <w:r w:rsidRPr="004B3628">
              <w:t>sistemih</w:t>
            </w:r>
            <w:r w:rsidRPr="00D66C29">
              <w:t xml:space="preserve"> v odnosu do uporabnika. Poznavanje orodij in tehnik za pomoč pri modeliranju, odločanju in obvladovanju informacij.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3784C" w:rsidRDefault="00E549F2" w:rsidP="00DF27F4">
            <w:pPr>
              <w:rPr>
                <w:rFonts w:asciiTheme="minorHAnsi" w:hAnsiTheme="minorHAnsi" w:cs="Calibri"/>
              </w:rPr>
            </w:pP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Understanding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intelligence in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modern information and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communication systems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 relation to the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user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. </w:t>
            </w:r>
            <w:r w:rsidR="00DF27F4">
              <w:rPr>
                <w:rStyle w:val="hps"/>
                <w:rFonts w:asciiTheme="minorHAnsi" w:hAnsiTheme="minorHAnsi" w:cs="Arial"/>
                <w:color w:val="222222"/>
                <w:lang w:val="en"/>
              </w:rPr>
              <w:t>Practical use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tools and techniques to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support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modeling,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decision-making and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 the management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information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>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D66C29" w:rsidP="00367E1F">
            <w:pPr>
              <w:jc w:val="both"/>
              <w:rPr>
                <w:rFonts w:cs="Calibri"/>
              </w:rPr>
            </w:pPr>
            <w:r w:rsidRPr="00D66C29">
              <w:rPr>
                <w:rFonts w:cs="Calibri"/>
              </w:rPr>
              <w:t>Razumevanje inteligence v sodobnih informacijsko-komunikacijskih sistemih in osnov zajema, obdelave in analize podatkov. Poznavanje osnov modeliranja interaktivnih komunikacijskih procesov.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83784C" w:rsidRDefault="00E549F2" w:rsidP="00FA5DD7">
            <w:pPr>
              <w:rPr>
                <w:rFonts w:asciiTheme="minorHAnsi" w:hAnsiTheme="minorHAnsi" w:cs="Calibri"/>
                <w:lang w:val="en-GB"/>
              </w:rPr>
            </w:pP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Understanding intelligence</w:t>
            </w:r>
            <w:r w:rsidR="00FA5DD7">
              <w:rPr>
                <w:rStyle w:val="hps"/>
                <w:rFonts w:asciiTheme="minorHAnsi" w:hAnsiTheme="minorHAnsi" w:cs="Arial"/>
                <w:color w:val="222222"/>
                <w:lang w:val="en"/>
              </w:rPr>
              <w:t xml:space="preserve"> in modern ICT systems and data acquisition, processing and analysis.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="00FA5DD7">
              <w:rPr>
                <w:rFonts w:asciiTheme="minorHAnsi" w:hAnsiTheme="minorHAnsi" w:cs="Arial"/>
                <w:color w:val="222222"/>
                <w:lang w:val="en"/>
              </w:rPr>
              <w:t>U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nderstanding basics of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modeling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interactive communication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processes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>.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FA09C6" w:rsidRPr="00567D4C" w:rsidTr="004B3628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58404D" w:rsidP="004B3628">
            <w:r w:rsidRPr="0058404D">
              <w:t xml:space="preserve">Predavanja s teoretičnimi </w:t>
            </w:r>
            <w:r w:rsidRPr="004B3628">
              <w:t>izhodišči</w:t>
            </w:r>
            <w:r w:rsidRPr="0058404D">
              <w:t xml:space="preserve"> in praktično naravnane laboratorijske vaje. Vodena izdelava projektov.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3784C" w:rsidRDefault="005842C9" w:rsidP="006F4E17">
            <w:pPr>
              <w:rPr>
                <w:rFonts w:asciiTheme="minorHAnsi" w:hAnsiTheme="minorHAnsi" w:cs="Calibri"/>
              </w:rPr>
            </w:pP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Lectures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with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theoretical foundations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and practical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oriented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 xml:space="preserve"> </w:t>
            </w:r>
            <w:r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lab</w:t>
            </w:r>
            <w:r w:rsidR="006F4E17" w:rsidRPr="0083784C">
              <w:rPr>
                <w:rStyle w:val="hps"/>
                <w:rFonts w:asciiTheme="minorHAnsi" w:hAnsiTheme="minorHAnsi" w:cs="Arial"/>
                <w:color w:val="222222"/>
                <w:lang w:val="en"/>
              </w:rPr>
              <w:t>s</w:t>
            </w:r>
            <w:r w:rsidRPr="0083784C">
              <w:rPr>
                <w:rFonts w:asciiTheme="minorHAnsi" w:hAnsiTheme="minorHAnsi" w:cs="Arial"/>
                <w:color w:val="222222"/>
                <w:lang w:val="en"/>
              </w:rPr>
              <w:t>.</w:t>
            </w:r>
            <w:r w:rsidR="001B199F">
              <w:rPr>
                <w:rFonts w:asciiTheme="minorHAnsi" w:hAnsiTheme="minorHAnsi" w:cs="Arial"/>
                <w:color w:val="222222"/>
                <w:lang w:val="en"/>
              </w:rPr>
              <w:t xml:space="preserve"> Guided project work.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Assessment:</w:t>
            </w:r>
          </w:p>
        </w:tc>
      </w:tr>
      <w:tr w:rsidR="00FA09C6" w:rsidTr="004B3628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38" w:rsidRDefault="00920538" w:rsidP="00920538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projekt, pisni izpit, ustni izpit.</w:t>
            </w:r>
          </w:p>
          <w:p w:rsidR="00920538" w:rsidRDefault="00920538" w:rsidP="00920538">
            <w:r>
              <w:t>Ocene od 1 do vključno 5 so negativne, ocene od vključno 6 do 10 so pozitivne.</w:t>
            </w:r>
          </w:p>
          <w:p w:rsidR="00920538" w:rsidRDefault="00920538" w:rsidP="00920538">
            <w:r>
              <w:t>Pozitivna ocena laboratorijskih vaj in domačih nalog je pogoj za pristop k izpitu.</w:t>
            </w:r>
          </w:p>
          <w:p w:rsidR="00920538" w:rsidRDefault="00920538" w:rsidP="00920538">
            <w:r>
              <w:lastRenderedPageBreak/>
              <w:t>Prispevki k oceni:</w:t>
            </w:r>
          </w:p>
          <w:p w:rsidR="00920538" w:rsidRDefault="00920538" w:rsidP="00920538">
            <w:r>
              <w:t>laboratorijske vaje in projekt</w:t>
            </w:r>
          </w:p>
          <w:p w:rsidR="00920538" w:rsidRDefault="00920538" w:rsidP="00920538">
            <w:r>
              <w:t>pisni izpit</w:t>
            </w:r>
          </w:p>
          <w:p w:rsidR="00FA09C6" w:rsidRDefault="00920538" w:rsidP="00FA09C6">
            <w:p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28" w:rsidRDefault="004B3628" w:rsidP="004B3628"/>
          <w:p w:rsidR="004B3628" w:rsidRDefault="004B3628" w:rsidP="004B3628"/>
          <w:p w:rsidR="004B3628" w:rsidRDefault="004B3628" w:rsidP="004B3628"/>
          <w:p w:rsidR="004B3628" w:rsidRDefault="004B3628" w:rsidP="004B3628"/>
          <w:p w:rsidR="004B3628" w:rsidRDefault="004B3628" w:rsidP="004B3628"/>
          <w:p w:rsidR="004B3628" w:rsidRDefault="004B3628" w:rsidP="004B3628"/>
          <w:p w:rsidR="004B3628" w:rsidRDefault="004B3628" w:rsidP="004B3628"/>
          <w:p w:rsidR="004B3628" w:rsidRDefault="004B3628" w:rsidP="004B3628"/>
          <w:p w:rsidR="00920538" w:rsidRPr="00BC7A21" w:rsidRDefault="00532DB8" w:rsidP="004B3628">
            <w:r>
              <w:t>25</w:t>
            </w:r>
            <w:r w:rsidR="00920538">
              <w:t>%</w:t>
            </w:r>
          </w:p>
          <w:p w:rsidR="00920538" w:rsidRPr="00BC7A21" w:rsidRDefault="00532DB8" w:rsidP="004B3628">
            <w:r>
              <w:t>5</w:t>
            </w:r>
            <w:r w:rsidR="00920538" w:rsidRPr="00BC7A21">
              <w:t>0%</w:t>
            </w:r>
          </w:p>
          <w:p w:rsidR="00FA09C6" w:rsidRPr="00C72078" w:rsidRDefault="00532DB8" w:rsidP="004B3628">
            <w:pPr>
              <w:rPr>
                <w:rFonts w:cs="Calibri"/>
                <w:b/>
              </w:rPr>
            </w:pPr>
            <w:r>
              <w:t>25</w:t>
            </w:r>
            <w:r w:rsidR="00920538" w:rsidRPr="00BC7A21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38" w:rsidRPr="0023428D" w:rsidRDefault="00920538" w:rsidP="0092053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lastRenderedPageBreak/>
              <w:t>Type: laboratory exercises, project, written exam, oral exam.</w:t>
            </w:r>
          </w:p>
          <w:p w:rsidR="00920538" w:rsidRPr="0023428D" w:rsidRDefault="00920538" w:rsidP="0092053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920538" w:rsidRPr="0023428D" w:rsidRDefault="00920538" w:rsidP="0092053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exercises and </w:t>
            </w:r>
            <w:r>
              <w:rPr>
                <w:rFonts w:cs="Calibri"/>
                <w:lang w:val="en-GB"/>
              </w:rPr>
              <w:t>project</w:t>
            </w:r>
            <w:r w:rsidRPr="0023428D">
              <w:rPr>
                <w:rFonts w:cs="Calibri"/>
                <w:lang w:val="en-GB"/>
              </w:rPr>
              <w:t xml:space="preserve"> is a prerequisite for the exam.</w:t>
            </w:r>
          </w:p>
          <w:p w:rsidR="00920538" w:rsidRPr="0023428D" w:rsidRDefault="00920538" w:rsidP="0092053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lastRenderedPageBreak/>
              <w:t>Contributions to final grade:</w:t>
            </w:r>
          </w:p>
          <w:p w:rsidR="00920538" w:rsidRPr="0023428D" w:rsidRDefault="00920538" w:rsidP="00920538">
            <w:pPr>
              <w:rPr>
                <w:lang w:val="en-GB"/>
              </w:rPr>
            </w:pPr>
            <w:r w:rsidRPr="0023428D">
              <w:rPr>
                <w:lang w:val="en-GB"/>
              </w:rPr>
              <w:t>laboratory exercises and project</w:t>
            </w:r>
          </w:p>
          <w:p w:rsidR="00920538" w:rsidRPr="0023428D" w:rsidRDefault="00920538" w:rsidP="00920538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FA09C6" w:rsidRDefault="00920538" w:rsidP="006F4E17">
            <w:pPr>
              <w:shd w:val="clear" w:color="auto" w:fill="F5F5F5"/>
              <w:textAlignment w:val="top"/>
              <w:rPr>
                <w:rFonts w:cs="Calibri"/>
                <w:b/>
              </w:rPr>
            </w:pPr>
            <w:r w:rsidRPr="0023428D">
              <w:rPr>
                <w:lang w:val="en-GB"/>
              </w:rPr>
              <w:t>oral examination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28" w:rsidRPr="004B3628" w:rsidRDefault="004B3628" w:rsidP="004B3628">
            <w:pPr>
              <w:pStyle w:val="Body"/>
              <w:spacing w:after="120"/>
              <w:rPr>
                <w:rFonts w:asciiTheme="minorHAnsi" w:hAnsiTheme="minorHAnsi" w:cs="Calibri"/>
                <w:sz w:val="24"/>
              </w:rPr>
            </w:pPr>
            <w:r>
              <w:rPr>
                <w:rFonts w:asciiTheme="minorHAnsi" w:hAnsiTheme="minorHAnsi" w:cs="Calibri"/>
                <w:sz w:val="24"/>
              </w:rPr>
              <w:t xml:space="preserve">1. </w:t>
            </w:r>
            <w:r w:rsidRPr="004B3628">
              <w:rPr>
                <w:rFonts w:asciiTheme="minorHAnsi" w:hAnsiTheme="minorHAnsi" w:cs="Calibri"/>
                <w:sz w:val="24"/>
              </w:rPr>
              <w:t xml:space="preserve">ZAJC, Matej, ISTENIČ STARČIČ, Andreja. Potentials of the Tangible User Interface (TUI) in enhancing inclusion of people with special needs in the ICT-assisted learning and e-accessibility. Lect. notes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comput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>. sci., 2012, str. 261-270.</w:t>
            </w:r>
          </w:p>
          <w:p w:rsidR="004B3628" w:rsidRPr="004B3628" w:rsidRDefault="004B3628" w:rsidP="004B3628">
            <w:pPr>
              <w:pStyle w:val="Body"/>
              <w:spacing w:after="120"/>
              <w:rPr>
                <w:rFonts w:asciiTheme="minorHAnsi" w:hAnsiTheme="minorHAnsi" w:cs="Calibri"/>
                <w:sz w:val="24"/>
              </w:rPr>
            </w:pPr>
            <w:r w:rsidRPr="004B3628">
              <w:rPr>
                <w:rFonts w:asciiTheme="minorHAnsi" w:hAnsiTheme="minorHAnsi" w:cs="Calibri"/>
                <w:sz w:val="24"/>
              </w:rPr>
              <w:t>2.</w:t>
            </w:r>
            <w:r>
              <w:rPr>
                <w:rFonts w:asciiTheme="minorHAnsi" w:hAnsiTheme="minorHAnsi" w:cs="Calibri"/>
                <w:sz w:val="24"/>
              </w:rPr>
              <w:t xml:space="preserve"> </w:t>
            </w:r>
            <w:r w:rsidRPr="004B3628">
              <w:rPr>
                <w:rFonts w:asciiTheme="minorHAnsi" w:hAnsiTheme="minorHAnsi" w:cs="Calibri"/>
                <w:sz w:val="24"/>
              </w:rPr>
              <w:t xml:space="preserve">ISTENIČ STARČIČ, Andreja, COTIČ, Mara, and ZAJC, Matej. Design-based research on the use of a tangible user interface for geometry teaching in an inclusive classroom. British journal of educational technology, ISSN 0007-1013,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sep.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 2013, vol. 44, no. 5, str. 729-744,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ilustr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.,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doi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>: 10.1111/j.1467-8535.2012.01341.x.</w:t>
            </w:r>
          </w:p>
          <w:p w:rsidR="004B3628" w:rsidRPr="004B3628" w:rsidRDefault="004B3628" w:rsidP="004B3628">
            <w:pPr>
              <w:pStyle w:val="Body"/>
              <w:spacing w:after="120"/>
              <w:rPr>
                <w:rFonts w:asciiTheme="minorHAnsi" w:hAnsiTheme="minorHAnsi" w:cs="Calibri"/>
                <w:sz w:val="24"/>
              </w:rPr>
            </w:pPr>
            <w:r w:rsidRPr="004B3628">
              <w:rPr>
                <w:rFonts w:asciiTheme="minorHAnsi" w:hAnsiTheme="minorHAnsi" w:cs="Calibri"/>
                <w:sz w:val="24"/>
              </w:rPr>
              <w:t>3.</w:t>
            </w:r>
            <w:r>
              <w:rPr>
                <w:rFonts w:asciiTheme="minorHAnsi" w:hAnsiTheme="minorHAnsi" w:cs="Calibri"/>
                <w:sz w:val="24"/>
              </w:rPr>
              <w:t xml:space="preserve"> </w:t>
            </w:r>
            <w:r w:rsidRPr="004B3628">
              <w:rPr>
                <w:rFonts w:asciiTheme="minorHAnsi" w:hAnsiTheme="minorHAnsi" w:cs="Calibri"/>
                <w:sz w:val="24"/>
              </w:rPr>
              <w:t xml:space="preserve">PLESNIK, Emil, MALGINA, Olga, TASIČ,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Jurij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 F., and ZAJC, Matej. Detection of the electrocardiogram fiducial points in the phase space using the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euclidian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 distance measure. Medical engineering &amp; physics, ISSN 1350-4533. [Print ed.], May 2012, vol. 34, no. 4, str. 524-529,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ilustr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.  http://dx.doi.org/10.1016/j.medengphy.2012.01.005,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doi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>: 10.1016/j.medengphy.2012.01.005.</w:t>
            </w:r>
          </w:p>
          <w:p w:rsidR="004B3628" w:rsidRPr="004B3628" w:rsidRDefault="004B3628" w:rsidP="004B3628">
            <w:pPr>
              <w:pStyle w:val="Body"/>
              <w:spacing w:after="120"/>
              <w:rPr>
                <w:rFonts w:asciiTheme="minorHAnsi" w:hAnsiTheme="minorHAnsi" w:cs="Calibri"/>
                <w:sz w:val="24"/>
              </w:rPr>
            </w:pPr>
            <w:r w:rsidRPr="004B3628">
              <w:rPr>
                <w:rFonts w:asciiTheme="minorHAnsi" w:hAnsiTheme="minorHAnsi" w:cs="Calibri"/>
                <w:sz w:val="24"/>
              </w:rPr>
              <w:t>4.</w:t>
            </w:r>
            <w:r>
              <w:rPr>
                <w:rFonts w:asciiTheme="minorHAnsi" w:hAnsiTheme="minorHAnsi" w:cs="Calibri"/>
                <w:sz w:val="24"/>
              </w:rPr>
              <w:t xml:space="preserve"> </w:t>
            </w:r>
            <w:r w:rsidRPr="004B3628">
              <w:rPr>
                <w:rFonts w:asciiTheme="minorHAnsi" w:hAnsiTheme="minorHAnsi" w:cs="Calibri"/>
                <w:sz w:val="24"/>
              </w:rPr>
              <w:t xml:space="preserve">MEŽA, Marko, BRESKVAR, Marko, KOŠIR, Andrej, BRICL, Irena, TASIČ,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Jurij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 F., ROŽMAN, Primož. Telemedicine in the blood transfusion laboratory - remote interpretation of pre-transfusion tests. Journal of telemedicine and telecare, ISSN 1357-633X, 2007, vol. 13, no. 7, str. 357-362.</w:t>
            </w:r>
          </w:p>
          <w:p w:rsidR="0083784C" w:rsidRDefault="004B3628" w:rsidP="004B3628">
            <w:pPr>
              <w:pStyle w:val="Body"/>
              <w:spacing w:after="120"/>
              <w:rPr>
                <w:rFonts w:cs="Calibri"/>
              </w:rPr>
            </w:pPr>
            <w:r w:rsidRPr="004B3628">
              <w:rPr>
                <w:rFonts w:asciiTheme="minorHAnsi" w:hAnsiTheme="minorHAnsi" w:cs="Calibri"/>
                <w:sz w:val="24"/>
              </w:rPr>
              <w:t>5.</w:t>
            </w:r>
            <w:r>
              <w:rPr>
                <w:rFonts w:asciiTheme="minorHAnsi" w:hAnsiTheme="minorHAnsi" w:cs="Calibri"/>
                <w:sz w:val="24"/>
              </w:rPr>
              <w:t xml:space="preserve"> </w:t>
            </w:r>
            <w:r w:rsidRPr="004B3628">
              <w:rPr>
                <w:rFonts w:asciiTheme="minorHAnsi" w:hAnsiTheme="minorHAnsi" w:cs="Calibri"/>
                <w:sz w:val="24"/>
              </w:rPr>
              <w:t xml:space="preserve">MEŽA, Marko. Development and introduction of the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telemedical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 system into the blood transfusion practice. V: GRASCHEW, 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Georgi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 (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ur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>.), ROELOFS, Theo A. (</w:t>
            </w:r>
            <w:proofErr w:type="spellStart"/>
            <w:r w:rsidRPr="004B3628">
              <w:rPr>
                <w:rFonts w:asciiTheme="minorHAnsi" w:hAnsiTheme="minorHAnsi" w:cs="Calibri"/>
                <w:sz w:val="24"/>
              </w:rPr>
              <w:t>ur</w:t>
            </w:r>
            <w:proofErr w:type="spellEnd"/>
            <w:r w:rsidRPr="004B3628">
              <w:rPr>
                <w:rFonts w:asciiTheme="minorHAnsi" w:hAnsiTheme="minorHAnsi" w:cs="Calibri"/>
                <w:sz w:val="24"/>
              </w:rPr>
              <w:t xml:space="preserve">.). Advances in </w:t>
            </w:r>
            <w:proofErr w:type="gramStart"/>
            <w:r w:rsidRPr="004B3628">
              <w:rPr>
                <w:rFonts w:asciiTheme="minorHAnsi" w:hAnsiTheme="minorHAnsi" w:cs="Calibri"/>
                <w:sz w:val="24"/>
              </w:rPr>
              <w:t>telemedicine :</w:t>
            </w:r>
            <w:proofErr w:type="gramEnd"/>
            <w:r w:rsidRPr="004B3628">
              <w:rPr>
                <w:rFonts w:asciiTheme="minorHAnsi" w:hAnsiTheme="minorHAnsi" w:cs="Calibri"/>
                <w:sz w:val="24"/>
              </w:rPr>
              <w:t xml:space="preserve"> applications in various medical disciplines and geographical regions. Rijeka: Intech, cop. 2011.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5704"/>
    <w:multiLevelType w:val="hybridMultilevel"/>
    <w:tmpl w:val="B9F44E6E"/>
    <w:lvl w:ilvl="0" w:tplc="D360A2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tej Zajc">
    <w15:presenceInfo w15:providerId="AD" w15:userId="S-1-5-21-2365570725-1253261689-3472938433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B368E"/>
    <w:rsid w:val="000C2C3D"/>
    <w:rsid w:val="000E14C9"/>
    <w:rsid w:val="000E2535"/>
    <w:rsid w:val="000E605D"/>
    <w:rsid w:val="000F38C1"/>
    <w:rsid w:val="000F41E9"/>
    <w:rsid w:val="0012364D"/>
    <w:rsid w:val="001440CD"/>
    <w:rsid w:val="001509CC"/>
    <w:rsid w:val="001B199F"/>
    <w:rsid w:val="001B60F1"/>
    <w:rsid w:val="001C5CD1"/>
    <w:rsid w:val="001D5408"/>
    <w:rsid w:val="001E1D8A"/>
    <w:rsid w:val="001F4B3A"/>
    <w:rsid w:val="00207896"/>
    <w:rsid w:val="002724BA"/>
    <w:rsid w:val="002A230E"/>
    <w:rsid w:val="002E60F2"/>
    <w:rsid w:val="002F300A"/>
    <w:rsid w:val="002F33A9"/>
    <w:rsid w:val="002F5BDC"/>
    <w:rsid w:val="00330A9E"/>
    <w:rsid w:val="00333E7F"/>
    <w:rsid w:val="00346D09"/>
    <w:rsid w:val="00365521"/>
    <w:rsid w:val="00367E1F"/>
    <w:rsid w:val="00384EDA"/>
    <w:rsid w:val="003B15BC"/>
    <w:rsid w:val="003D1373"/>
    <w:rsid w:val="003D48ED"/>
    <w:rsid w:val="00424BFD"/>
    <w:rsid w:val="004B3628"/>
    <w:rsid w:val="004D6761"/>
    <w:rsid w:val="00506668"/>
    <w:rsid w:val="00530645"/>
    <w:rsid w:val="00530AB8"/>
    <w:rsid w:val="00532DB8"/>
    <w:rsid w:val="0053523E"/>
    <w:rsid w:val="00567D4C"/>
    <w:rsid w:val="0058404D"/>
    <w:rsid w:val="005842C9"/>
    <w:rsid w:val="005903BA"/>
    <w:rsid w:val="005E4A80"/>
    <w:rsid w:val="00611C33"/>
    <w:rsid w:val="006253E7"/>
    <w:rsid w:val="006432C5"/>
    <w:rsid w:val="00653DB3"/>
    <w:rsid w:val="006942CD"/>
    <w:rsid w:val="006F412C"/>
    <w:rsid w:val="006F4E17"/>
    <w:rsid w:val="00742287"/>
    <w:rsid w:val="00766BA1"/>
    <w:rsid w:val="00776816"/>
    <w:rsid w:val="00783EC5"/>
    <w:rsid w:val="007F1975"/>
    <w:rsid w:val="00816D71"/>
    <w:rsid w:val="0082408F"/>
    <w:rsid w:val="0083784C"/>
    <w:rsid w:val="00865AE3"/>
    <w:rsid w:val="00876D2B"/>
    <w:rsid w:val="008C0DEF"/>
    <w:rsid w:val="008C19CE"/>
    <w:rsid w:val="008D209F"/>
    <w:rsid w:val="008F1EB9"/>
    <w:rsid w:val="008F6996"/>
    <w:rsid w:val="00920538"/>
    <w:rsid w:val="00937C7E"/>
    <w:rsid w:val="00942F47"/>
    <w:rsid w:val="00967B37"/>
    <w:rsid w:val="0099267E"/>
    <w:rsid w:val="009A255F"/>
    <w:rsid w:val="00A024F8"/>
    <w:rsid w:val="00A02BF5"/>
    <w:rsid w:val="00A26AC8"/>
    <w:rsid w:val="00A333D5"/>
    <w:rsid w:val="00A65E3F"/>
    <w:rsid w:val="00AE692F"/>
    <w:rsid w:val="00B10642"/>
    <w:rsid w:val="00B12423"/>
    <w:rsid w:val="00B37024"/>
    <w:rsid w:val="00B87B5F"/>
    <w:rsid w:val="00BA1F90"/>
    <w:rsid w:val="00C043A7"/>
    <w:rsid w:val="00C16E51"/>
    <w:rsid w:val="00C41152"/>
    <w:rsid w:val="00C42524"/>
    <w:rsid w:val="00C44581"/>
    <w:rsid w:val="00C67A9E"/>
    <w:rsid w:val="00D16280"/>
    <w:rsid w:val="00D1670E"/>
    <w:rsid w:val="00D25F8E"/>
    <w:rsid w:val="00D60066"/>
    <w:rsid w:val="00D66C29"/>
    <w:rsid w:val="00D6782B"/>
    <w:rsid w:val="00D720A0"/>
    <w:rsid w:val="00DF27F4"/>
    <w:rsid w:val="00E549F2"/>
    <w:rsid w:val="00E948BA"/>
    <w:rsid w:val="00EB2399"/>
    <w:rsid w:val="00EF7242"/>
    <w:rsid w:val="00F458E2"/>
    <w:rsid w:val="00F547F3"/>
    <w:rsid w:val="00F866D2"/>
    <w:rsid w:val="00FA09C6"/>
    <w:rsid w:val="00FA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49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9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9F2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9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9F2"/>
    <w:rPr>
      <w:rFonts w:ascii="Calibri" w:eastAsia="Calibri" w:hAnsi="Calibri" w:cs="Times New Roman"/>
      <w:b/>
      <w:bCs/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F2"/>
    <w:rPr>
      <w:rFonts w:ascii="Tahoma" w:eastAsia="Calibri" w:hAnsi="Tahoma" w:cs="Tahoma"/>
      <w:sz w:val="16"/>
      <w:szCs w:val="16"/>
      <w:lang w:eastAsia="sl-SI"/>
    </w:rPr>
  </w:style>
  <w:style w:type="character" w:customStyle="1" w:styleId="hps">
    <w:name w:val="hps"/>
    <w:basedOn w:val="DefaultParagraphFont"/>
    <w:rsid w:val="00E549F2"/>
  </w:style>
  <w:style w:type="character" w:styleId="Hyperlink">
    <w:name w:val="Hyperlink"/>
    <w:basedOn w:val="DefaultParagraphFont"/>
    <w:uiPriority w:val="99"/>
    <w:semiHidden/>
    <w:unhideWhenUsed/>
    <w:rsid w:val="00EB23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3E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">
    <w:name w:val="Body"/>
    <w:basedOn w:val="Normal"/>
    <w:rsid w:val="00783EC5"/>
    <w:rPr>
      <w:rFonts w:ascii="Arial Narrow" w:eastAsia="Times New Roman" w:hAnsi="Arial Narrow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49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9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9F2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9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9F2"/>
    <w:rPr>
      <w:rFonts w:ascii="Calibri" w:eastAsia="Calibri" w:hAnsi="Calibri" w:cs="Times New Roman"/>
      <w:b/>
      <w:bCs/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F2"/>
    <w:rPr>
      <w:rFonts w:ascii="Tahoma" w:eastAsia="Calibri" w:hAnsi="Tahoma" w:cs="Tahoma"/>
      <w:sz w:val="16"/>
      <w:szCs w:val="16"/>
      <w:lang w:eastAsia="sl-SI"/>
    </w:rPr>
  </w:style>
  <w:style w:type="character" w:customStyle="1" w:styleId="hps">
    <w:name w:val="hps"/>
    <w:basedOn w:val="DefaultParagraphFont"/>
    <w:rsid w:val="00E549F2"/>
  </w:style>
  <w:style w:type="character" w:styleId="Hyperlink">
    <w:name w:val="Hyperlink"/>
    <w:basedOn w:val="DefaultParagraphFont"/>
    <w:uiPriority w:val="99"/>
    <w:semiHidden/>
    <w:unhideWhenUsed/>
    <w:rsid w:val="00EB23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3E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">
    <w:name w:val="Body"/>
    <w:basedOn w:val="Normal"/>
    <w:rsid w:val="00783EC5"/>
    <w:rPr>
      <w:rFonts w:ascii="Arial Narrow" w:eastAsia="Times New Roman" w:hAnsi="Arial Narrow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91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48202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90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9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9373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30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52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cp:lastPrinted>2014-05-30T08:44:00Z</cp:lastPrinted>
  <dcterms:created xsi:type="dcterms:W3CDTF">2016-05-30T13:33:00Z</dcterms:created>
  <dcterms:modified xsi:type="dcterms:W3CDTF">2016-06-03T10:42:00Z</dcterms:modified>
</cp:coreProperties>
</file>