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64351A"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64351A" w:rsidRDefault="00D13B46" w:rsidP="0064351A">
            <w:pPr>
              <w:pStyle w:val="Heading1"/>
              <w:jc w:val="center"/>
              <w:rPr>
                <w:b/>
                <w:sz w:val="24"/>
                <w:szCs w:val="24"/>
              </w:rPr>
            </w:pPr>
            <w:r w:rsidRPr="0064351A">
              <w:rPr>
                <w:b/>
                <w:sz w:val="24"/>
                <w:szCs w:val="24"/>
              </w:rPr>
              <w:t>UČ</w:t>
            </w:r>
            <w:r w:rsidR="00D60066" w:rsidRPr="0064351A">
              <w:rPr>
                <w:b/>
                <w:sz w:val="24"/>
                <w:szCs w:val="24"/>
              </w:rPr>
              <w:t>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EE0A8D" w:rsidRPr="00502045" w:rsidRDefault="00502045" w:rsidP="00502045">
            <w:bookmarkStart w:id="0" w:name="Predmet"/>
            <w:bookmarkEnd w:id="0"/>
            <w:r w:rsidRPr="00DE4900">
              <w:t>Visokonapetostna tehnika</w:t>
            </w:r>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D6220A">
            <w:pPr>
              <w:rPr>
                <w:rFonts w:cs="Calibri"/>
              </w:rPr>
            </w:pPr>
            <w:bookmarkStart w:id="1" w:name="APredmet"/>
            <w:bookmarkEnd w:id="1"/>
            <w:r>
              <w:rPr>
                <w:lang w:val="en-GB"/>
              </w:rPr>
              <w:t>High Voltage Engineering</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6D0473" w:rsidP="006F412C">
            <w:pPr>
              <w:jc w:val="center"/>
              <w:rPr>
                <w:rFonts w:cs="Calibri"/>
                <w:b/>
                <w:bCs/>
              </w:rPr>
            </w:pPr>
            <w:r>
              <w:rPr>
                <w:rFonts w:cs="Calibri"/>
                <w:b/>
                <w:bCs/>
              </w:rPr>
              <w:t>Energetika in mehatronika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0B368E" w:rsidP="006F412C">
            <w:pPr>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1955A3" w:rsidP="006F412C">
            <w:pPr>
              <w:jc w:val="center"/>
              <w:rPr>
                <w:rFonts w:cs="Calibri"/>
                <w:bCs/>
              </w:rPr>
            </w:pPr>
            <w:r>
              <w:rPr>
                <w:rFonts w:cs="Calibri"/>
                <w:bCs/>
              </w:rPr>
              <w:t>letn</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1st cycle academic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6D0473" w:rsidP="006F412C">
            <w:pPr>
              <w:jc w:val="center"/>
              <w:rPr>
                <w:rFonts w:cs="Calibri"/>
                <w:b/>
                <w:bCs/>
              </w:rPr>
            </w:pPr>
            <w:r w:rsidRPr="006D0473">
              <w:rPr>
                <w:rFonts w:cs="Calibri"/>
                <w:b/>
                <w:bCs/>
              </w:rPr>
              <w:t>Power Engineering and Mechatronics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0B368E" w:rsidP="006F412C">
            <w:pPr>
              <w:jc w:val="center"/>
              <w:rPr>
                <w:rFonts w:cs="Calibri"/>
                <w:b/>
                <w:bCs/>
              </w:rPr>
            </w:pPr>
            <w:r>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1955A3" w:rsidP="006F412C">
            <w:pPr>
              <w:jc w:val="center"/>
              <w:rPr>
                <w:rFonts w:cs="Calibri"/>
                <w:b/>
                <w:bCs/>
              </w:rPr>
            </w:pPr>
            <w:r>
              <w:rPr>
                <w:rFonts w:cs="Calibri"/>
                <w:b/>
                <w:bCs/>
              </w:rPr>
              <w:t>summ</w:t>
            </w:r>
            <w:r w:rsidR="000B368E">
              <w:rPr>
                <w:rFonts w:cs="Calibri"/>
                <w:b/>
                <w:bCs/>
              </w:rPr>
              <w:t>er</w:t>
            </w:r>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774B86" w:rsidP="00774B86">
            <w:pPr>
              <w:rPr>
                <w:rFonts w:cs="Calibri"/>
              </w:rPr>
            </w:pPr>
            <w:r>
              <w:t>Obvezni - strokovni</w:t>
            </w:r>
            <w:r w:rsidR="001955A3">
              <w:t xml:space="preserve">/ </w:t>
            </w:r>
            <w:r w:rsidRPr="00774B86">
              <w:t>compulsory professional</w:t>
            </w: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597593">
            <w:pPr>
              <w:rPr>
                <w:rFonts w:cs="Calibri"/>
              </w:rPr>
            </w:pPr>
            <w:r>
              <w:rPr>
                <w:rFonts w:cs="Calibri"/>
              </w:rPr>
              <w:t>641</w:t>
            </w:r>
            <w:r w:rsidR="00D6220A">
              <w:rPr>
                <w:rFonts w:cs="Calibri"/>
              </w:rPr>
              <w:t>65</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r>
              <w:rPr>
                <w:rFonts w:cs="Calibri"/>
                <w:b/>
                <w:szCs w:val="22"/>
              </w:rPr>
              <w:t>Individ. work</w:t>
            </w:r>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D6220A" w:rsidP="006F412C">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830F72" w:rsidP="006F412C">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D6220A" w:rsidP="006F412C">
            <w:pPr>
              <w:jc w:val="center"/>
              <w:rPr>
                <w:rFonts w:cs="Calibri"/>
                <w:b/>
                <w:bCs/>
              </w:rPr>
            </w:pPr>
            <w:r>
              <w:rPr>
                <w:rFonts w:cs="Calibri"/>
                <w:b/>
                <w:bCs/>
              </w:rPr>
              <w:t>7</w:t>
            </w:r>
            <w:r w:rsidR="001955A3">
              <w:rPr>
                <w:rFonts w:cs="Calibri"/>
                <w:b/>
                <w:bCs/>
              </w:rPr>
              <w:t>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D6220A" w:rsidP="006F412C">
            <w:pPr>
              <w:jc w:val="center"/>
              <w:rPr>
                <w:rFonts w:cs="Calibri"/>
                <w:b/>
                <w:bCs/>
              </w:rPr>
            </w:pPr>
            <w:r>
              <w:rPr>
                <w:rFonts w:cs="Calibri"/>
                <w:b/>
                <w:bCs/>
              </w:rPr>
              <w:t>6</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D6220A" w:rsidP="00A26AC8">
            <w:pPr>
              <w:rPr>
                <w:rFonts w:cs="Calibri"/>
              </w:rPr>
            </w:pPr>
            <w:bookmarkStart w:id="2" w:name="Predavatelj"/>
            <w:bookmarkEnd w:id="2"/>
            <w:r>
              <w:rPr>
                <w:rFonts w:cs="Calibri"/>
              </w:rPr>
              <w:t>Igor Papič</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r>
              <w:rPr>
                <w:rFonts w:cs="Calibri"/>
                <w:b/>
                <w:szCs w:val="22"/>
              </w:rPr>
              <w:t>Languages:</w:t>
            </w:r>
          </w:p>
        </w:tc>
        <w:tc>
          <w:tcPr>
            <w:tcW w:w="2241" w:type="dxa"/>
            <w:gridSpan w:val="4"/>
            <w:hideMark/>
          </w:tcPr>
          <w:p w:rsidR="006F412C" w:rsidRDefault="006F412C" w:rsidP="006F412C">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970447" w:rsidRDefault="00970447" w:rsidP="00970447">
            <w:bookmarkStart w:id="3" w:name="Jezik"/>
            <w:bookmarkEnd w:id="3"/>
            <w:r w:rsidRPr="00007802">
              <w:rPr>
                <w:rFonts w:cs="Calibri"/>
              </w:rPr>
              <w:t>slovenski</w:t>
            </w:r>
            <w:r>
              <w:rPr>
                <w:rFonts w:cs="Calibri"/>
              </w:rPr>
              <w:t xml:space="preserve"> / Slovenian</w:t>
            </w:r>
          </w:p>
          <w:p w:rsidR="006F412C" w:rsidRPr="00007802" w:rsidRDefault="006F412C" w:rsidP="006F412C">
            <w:pPr>
              <w:jc w:val="both"/>
              <w:rPr>
                <w:rFonts w:cs="Calibri"/>
                <w:bCs/>
              </w:rPr>
            </w:pP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970447" w:rsidRDefault="00970447" w:rsidP="00970447">
            <w:bookmarkStart w:id="4" w:name="JezikV"/>
            <w:bookmarkEnd w:id="4"/>
            <w:r w:rsidRPr="00007802">
              <w:rPr>
                <w:rFonts w:cs="Calibri"/>
              </w:rPr>
              <w:t>slovenski</w:t>
            </w:r>
            <w:r>
              <w:rPr>
                <w:rFonts w:cs="Calibri"/>
              </w:rPr>
              <w:t xml:space="preserve"> / Slovenian</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Prerequisits:</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EE0A8D" w:rsidRPr="00EE0A8D" w:rsidRDefault="00970447" w:rsidP="00970447">
            <w:r>
              <w:t>Vpis v letnik</w:t>
            </w:r>
            <w:r>
              <w:t>.</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265CCC" w:rsidRDefault="00970447" w:rsidP="00970447">
            <w:pPr>
              <w:rPr>
                <w:lang w:val="en-US"/>
              </w:rPr>
            </w:pPr>
            <w:r>
              <w:t>Enrolment in the year of the course.</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CA026C" w:rsidRPr="00CA026C" w:rsidRDefault="00CA026C" w:rsidP="00CA026C">
            <w:pPr>
              <w:rPr>
                <w:rFonts w:cs="Calibri"/>
              </w:rPr>
            </w:pPr>
            <w:r w:rsidRPr="00CA026C">
              <w:rPr>
                <w:rFonts w:cs="Calibri"/>
              </w:rPr>
              <w:t xml:space="preserve">Električno polje v visokonapetostni tehniki, metode in postopki za ugotavljanje jakosti električnega polja. Dielektrična trdnost in zdržnost izolacije. Razelektritve v homogenem in nehomogenem polju. Delne razelektritve, razelektritve v naravi, nastanek in vrste strel. Izolacijski materiali, plinasti dielektriki, trdi </w:t>
            </w:r>
            <w:r w:rsidR="00FB3C4D">
              <w:rPr>
                <w:rFonts w:cs="Calibri"/>
              </w:rPr>
              <w:t xml:space="preserve">in tekoči </w:t>
            </w:r>
            <w:r w:rsidRPr="00CA026C">
              <w:rPr>
                <w:rFonts w:cs="Calibri"/>
              </w:rPr>
              <w:t xml:space="preserve">izolacijski materiali. Metode za ugotavljanje stanja izolacije. Razporeditev potenciala vzdolž dolgih struktur, verige izolatorjev, navitja transformatorjev. </w:t>
            </w:r>
          </w:p>
          <w:p w:rsidR="00CA026C" w:rsidRDefault="00CA026C" w:rsidP="00CA026C">
            <w:pPr>
              <w:rPr>
                <w:rFonts w:cs="Calibri"/>
              </w:rPr>
            </w:pPr>
          </w:p>
          <w:p w:rsidR="00CA026C" w:rsidRPr="00CA026C" w:rsidRDefault="00CA026C" w:rsidP="00CA026C">
            <w:pPr>
              <w:rPr>
                <w:rFonts w:cs="Calibri"/>
              </w:rPr>
            </w:pPr>
            <w:r w:rsidRPr="00CA026C">
              <w:rPr>
                <w:rFonts w:cs="Calibri"/>
              </w:rPr>
              <w:lastRenderedPageBreak/>
              <w:t xml:space="preserve">Proizvajanje in merjenje visokih izmeničnih napetosti. Proizvajanje in merjenje visokih enosmernih napetosti. Proizvajanje in merjenje visokih udarnih napetosti. </w:t>
            </w:r>
          </w:p>
          <w:p w:rsidR="00CA026C" w:rsidRDefault="00CA026C" w:rsidP="00CA026C">
            <w:pPr>
              <w:rPr>
                <w:rFonts w:cs="Calibri"/>
              </w:rPr>
            </w:pPr>
            <w:r w:rsidRPr="00CA026C">
              <w:rPr>
                <w:rFonts w:cs="Calibri"/>
              </w:rPr>
              <w:t xml:space="preserve">Nastanek prenapetosti, atmosferske prenapetosti, notranje prenapetosti. </w:t>
            </w:r>
          </w:p>
          <w:p w:rsidR="00CA026C" w:rsidRDefault="00CA026C" w:rsidP="00CA026C">
            <w:pPr>
              <w:rPr>
                <w:rFonts w:cs="Calibri"/>
              </w:rPr>
            </w:pPr>
          </w:p>
          <w:p w:rsidR="006F412C" w:rsidRPr="00567D4C" w:rsidRDefault="00CA026C" w:rsidP="00CA026C">
            <w:pPr>
              <w:rPr>
                <w:rFonts w:cs="Calibri"/>
              </w:rPr>
            </w:pPr>
            <w:r w:rsidRPr="00CA026C">
              <w:rPr>
                <w:rFonts w:cs="Calibri"/>
              </w:rPr>
              <w:t>Prenapetostni odvodniki in koordinacija izolacije. Modeliranje visokonapetostnih naprav in omrežij ter analiza visokonapetostnih prehodnih pojavov.</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FB3C4D" w:rsidRDefault="00FB3C4D" w:rsidP="00265CCC">
            <w:pPr>
              <w:rPr>
                <w:rFonts w:cs="Calibri"/>
                <w:lang w:val="en-US"/>
              </w:rPr>
            </w:pPr>
            <w:r w:rsidRPr="00FB3C4D">
              <w:rPr>
                <w:rFonts w:cs="Calibri"/>
                <w:lang w:val="en-US"/>
              </w:rPr>
              <w:t>The electric field in high voltage engineering, methods and procedures to determine the electric field. Dielectric strength and insulation withstand. Discharges in homogeneous and inhomogeneous field. Partial discharges, atmospheric discharges, origin and type of lighting strokes. Insulating materials, gaseous dielectrics, solid and liquid insulating materials. Methods for isolation quality assessment. Distribution of potential along the long structures, ceramic type suspension insulators, transformer windings.</w:t>
            </w:r>
          </w:p>
          <w:p w:rsidR="00CA026C" w:rsidRDefault="00CA026C" w:rsidP="00265CCC">
            <w:pPr>
              <w:rPr>
                <w:rFonts w:cs="Calibri"/>
                <w:lang w:val="en-US"/>
              </w:rPr>
            </w:pPr>
          </w:p>
          <w:p w:rsidR="00FB3C4D" w:rsidRDefault="00D774B5" w:rsidP="00265CCC">
            <w:pPr>
              <w:rPr>
                <w:rFonts w:cs="Calibri"/>
                <w:lang w:val="en-US"/>
              </w:rPr>
            </w:pPr>
            <w:r w:rsidRPr="00D774B5">
              <w:rPr>
                <w:rFonts w:cs="Calibri"/>
                <w:lang w:val="en-US"/>
              </w:rPr>
              <w:t>Generation and measurement of high AC voltages. Generation and measurement of high DC voltages. Generation and measurement of high impulse voltages.</w:t>
            </w:r>
            <w:r>
              <w:rPr>
                <w:rFonts w:cs="Calibri"/>
                <w:lang w:val="en-US"/>
              </w:rPr>
              <w:t xml:space="preserve"> </w:t>
            </w:r>
            <w:r w:rsidR="00265CCC" w:rsidRPr="00E16B78">
              <w:rPr>
                <w:rFonts w:cs="Calibri"/>
                <w:lang w:val="en-US"/>
              </w:rPr>
              <w:t xml:space="preserve">The formation of </w:t>
            </w:r>
            <w:r w:rsidR="00265CCC">
              <w:rPr>
                <w:rFonts w:cs="Calibri"/>
                <w:lang w:val="en-US"/>
              </w:rPr>
              <w:t>overvoltage, lightning overvoltage,</w:t>
            </w:r>
            <w:r w:rsidR="00265CCC" w:rsidRPr="00E16B78">
              <w:rPr>
                <w:rFonts w:cs="Calibri"/>
                <w:lang w:val="en-US"/>
              </w:rPr>
              <w:t xml:space="preserve"> </w:t>
            </w:r>
            <w:r w:rsidR="00265CCC">
              <w:rPr>
                <w:rFonts w:cs="Calibri"/>
                <w:lang w:val="en-US"/>
              </w:rPr>
              <w:t>system overvoltage</w:t>
            </w:r>
            <w:r w:rsidR="00265CCC" w:rsidRPr="00E16B78">
              <w:rPr>
                <w:rFonts w:cs="Calibri"/>
                <w:lang w:val="en-US"/>
              </w:rPr>
              <w:t xml:space="preserve">. </w:t>
            </w:r>
          </w:p>
          <w:p w:rsidR="00FB3C4D" w:rsidRDefault="00FB3C4D" w:rsidP="00265CCC">
            <w:pPr>
              <w:rPr>
                <w:rFonts w:cs="Calibri"/>
                <w:lang w:val="en-US"/>
              </w:rPr>
            </w:pPr>
          </w:p>
          <w:p w:rsidR="006F412C" w:rsidRDefault="00265CCC" w:rsidP="00265CCC">
            <w:pPr>
              <w:rPr>
                <w:rFonts w:cs="Calibri"/>
                <w:lang w:val="en-US"/>
              </w:rPr>
            </w:pPr>
            <w:r w:rsidRPr="00E16B78">
              <w:rPr>
                <w:rFonts w:cs="Calibri"/>
                <w:lang w:val="en-US"/>
              </w:rPr>
              <w:t>Surge arresters and insulation coordination. Modeling of hi</w:t>
            </w:r>
            <w:r w:rsidR="009141FB">
              <w:rPr>
                <w:rFonts w:cs="Calibri"/>
                <w:lang w:val="en-US"/>
              </w:rPr>
              <w:t xml:space="preserve">gh </w:t>
            </w:r>
            <w:r>
              <w:rPr>
                <w:rFonts w:cs="Calibri"/>
                <w:lang w:val="en-US"/>
              </w:rPr>
              <w:t>voltage devices and networks</w:t>
            </w:r>
            <w:r w:rsidR="009141FB">
              <w:rPr>
                <w:rFonts w:cs="Calibri"/>
                <w:lang w:val="en-US"/>
              </w:rPr>
              <w:t xml:space="preserve"> and analysis of high </w:t>
            </w:r>
            <w:r w:rsidRPr="00E16B78">
              <w:rPr>
                <w:rFonts w:cs="Calibri"/>
                <w:lang w:val="en-US"/>
              </w:rPr>
              <w:t>voltage transients.</w:t>
            </w:r>
          </w:p>
          <w:p w:rsidR="00D774B5" w:rsidRPr="00567D4C" w:rsidRDefault="00D774B5" w:rsidP="00265CCC">
            <w:pPr>
              <w:rPr>
                <w:rFonts w:cs="Calibri"/>
                <w:lang w:val="en-GB"/>
              </w:rPr>
            </w:pP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Temeljni literatura in viri / Readings:</w:t>
            </w:r>
          </w:p>
        </w:tc>
      </w:tr>
      <w:tr w:rsidR="00FA09C6" w:rsidRPr="00567D4C" w:rsidTr="00970447">
        <w:trPr>
          <w:trHeight w:val="978"/>
        </w:trPr>
        <w:tc>
          <w:tcPr>
            <w:tcW w:w="9690" w:type="dxa"/>
            <w:gridSpan w:val="6"/>
            <w:tcBorders>
              <w:top w:val="single" w:sz="4" w:space="0" w:color="auto"/>
              <w:left w:val="single" w:sz="4" w:space="0" w:color="auto"/>
              <w:bottom w:val="single" w:sz="4" w:space="0" w:color="auto"/>
              <w:right w:val="single" w:sz="4" w:space="0" w:color="auto"/>
            </w:tcBorders>
          </w:tcPr>
          <w:p w:rsidR="00AB206F" w:rsidRDefault="00AB206F" w:rsidP="00E23A40">
            <w:pPr>
              <w:pStyle w:val="ListParagraph"/>
              <w:numPr>
                <w:ilvl w:val="0"/>
                <w:numId w:val="3"/>
              </w:numPr>
            </w:pPr>
            <w:bookmarkStart w:id="5" w:name="Ucbeniki"/>
            <w:bookmarkEnd w:id="5"/>
            <w:r>
              <w:t>M. Babuder, Visokonapetostna tehnika, skripta, Ljubljana 2004.</w:t>
            </w:r>
          </w:p>
          <w:p w:rsidR="00FA09C6" w:rsidRPr="00E23A40" w:rsidRDefault="00AB206F" w:rsidP="00D6220A">
            <w:pPr>
              <w:pStyle w:val="ListParagraph"/>
              <w:numPr>
                <w:ilvl w:val="0"/>
                <w:numId w:val="3"/>
              </w:numPr>
            </w:pPr>
            <w:r>
              <w:t>J. Voršič, J. Pihler, Tehnika visokih napetosti in velikih tokov, Univerza v Mariboru, FERI, Maribor 2008.</w:t>
            </w: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A09C6" w:rsidRPr="00567D4C" w:rsidRDefault="00E23A40" w:rsidP="00E23A40">
            <w:pPr>
              <w:rPr>
                <w:rFonts w:cs="Calibri"/>
              </w:rPr>
            </w:pPr>
            <w:r w:rsidRPr="00E23A40">
              <w:rPr>
                <w:rFonts w:cs="Calibri"/>
              </w:rPr>
              <w:t>Študent bo spoznal pomen visoke napetosti pri načrtovanju in obratovanju elektroenergetskih omrežij in naprav. Pridobil bo osnovno znanje o visokonapetostni tehniki in metodah preizkušanja elektroenergetske opreme v visokonapetostnem laboratoriju.</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265CCC" w:rsidP="00FA09C6">
            <w:pPr>
              <w:rPr>
                <w:rFonts w:cs="Calibri"/>
              </w:rPr>
            </w:pPr>
            <w:r w:rsidRPr="00C2245B">
              <w:rPr>
                <w:rFonts w:cs="Calibri"/>
                <w:lang w:val="en-US"/>
              </w:rPr>
              <w:t xml:space="preserve">The student will learn the importance of high </w:t>
            </w:r>
            <w:r>
              <w:rPr>
                <w:rFonts w:cs="Calibri"/>
                <w:lang w:val="en-US"/>
              </w:rPr>
              <w:t>voltage</w:t>
            </w:r>
            <w:r w:rsidRPr="00C2245B">
              <w:rPr>
                <w:rFonts w:cs="Calibri"/>
                <w:lang w:val="en-US"/>
              </w:rPr>
              <w:t xml:space="preserve"> in the design and operation of e</w:t>
            </w:r>
            <w:r>
              <w:rPr>
                <w:rFonts w:cs="Calibri"/>
                <w:lang w:val="en-US"/>
              </w:rPr>
              <w:t>lectricity networks and devices and w</w:t>
            </w:r>
            <w:r w:rsidRPr="00C2245B">
              <w:rPr>
                <w:rFonts w:cs="Calibri"/>
                <w:lang w:val="en-US"/>
              </w:rPr>
              <w:t>ill</w:t>
            </w:r>
            <w:r>
              <w:rPr>
                <w:rFonts w:cs="Calibri"/>
                <w:lang w:val="en-US"/>
              </w:rPr>
              <w:t xml:space="preserve"> also </w:t>
            </w:r>
            <w:r w:rsidRPr="00C2245B">
              <w:rPr>
                <w:rFonts w:cs="Calibri"/>
                <w:lang w:val="en-US"/>
              </w:rPr>
              <w:t>acqu</w:t>
            </w:r>
            <w:r w:rsidR="009141FB">
              <w:rPr>
                <w:rFonts w:cs="Calibri"/>
                <w:lang w:val="en-US"/>
              </w:rPr>
              <w:t xml:space="preserve">ire the basic knowledge of high </w:t>
            </w:r>
            <w:r>
              <w:rPr>
                <w:rFonts w:cs="Calibri"/>
                <w:lang w:val="en-US"/>
              </w:rPr>
              <w:t xml:space="preserve">voltage </w:t>
            </w:r>
            <w:r w:rsidRPr="00C2245B">
              <w:rPr>
                <w:rFonts w:cs="Calibri"/>
                <w:lang w:val="en-US"/>
              </w:rPr>
              <w:t>technolo</w:t>
            </w:r>
            <w:r w:rsidR="009141FB">
              <w:rPr>
                <w:rFonts w:cs="Calibri"/>
                <w:lang w:val="en-US"/>
              </w:rPr>
              <w:t xml:space="preserve">gy and methods for testing high </w:t>
            </w:r>
            <w:r w:rsidRPr="00C2245B">
              <w:rPr>
                <w:rFonts w:cs="Calibri"/>
                <w:lang w:val="en-US"/>
              </w:rPr>
              <w:t>voltage electric power equipment in the lab.</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4A2D16" w:rsidRDefault="004A2D16" w:rsidP="00E23A40">
            <w:pPr>
              <w:rPr>
                <w:rFonts w:cs="Calibri"/>
              </w:rPr>
            </w:pPr>
            <w:r w:rsidRPr="00C2128F">
              <w:rPr>
                <w:rFonts w:cs="Calibri"/>
              </w:rPr>
              <w:t>Znanje in razumevanje</w:t>
            </w:r>
            <w:r>
              <w:rPr>
                <w:rFonts w:cs="Calibri"/>
              </w:rPr>
              <w:t>:</w:t>
            </w:r>
          </w:p>
          <w:p w:rsidR="004A2D16" w:rsidRDefault="004A2D16" w:rsidP="00E23A40">
            <w:pPr>
              <w:rPr>
                <w:rFonts w:cs="Calibri"/>
              </w:rPr>
            </w:pPr>
            <w:r w:rsidRPr="0048467A">
              <w:rPr>
                <w:rFonts w:cs="Calibri"/>
              </w:rPr>
              <w:t>Študent bo razumel pomen visoke napetosti pri načrtovanju in obratovanju elektroenergetskega omrežja. Poznal bo metode pr</w:t>
            </w:r>
            <w:r>
              <w:rPr>
                <w:rFonts w:cs="Calibri"/>
              </w:rPr>
              <w:t>e</w:t>
            </w:r>
            <w:r w:rsidRPr="0048467A">
              <w:rPr>
                <w:rFonts w:cs="Calibri"/>
              </w:rPr>
              <w:t>izkušanja elektroenergetske opreme v visokonapetostnem laboratoriju.</w:t>
            </w:r>
          </w:p>
          <w:p w:rsidR="00E23A40" w:rsidRDefault="00E23A40" w:rsidP="00E23A40">
            <w:pPr>
              <w:rPr>
                <w:rFonts w:cs="Calibri"/>
              </w:rPr>
            </w:pPr>
          </w:p>
          <w:p w:rsidR="004A2D16" w:rsidRDefault="004A2D16" w:rsidP="00E23A40">
            <w:pPr>
              <w:rPr>
                <w:rFonts w:cs="Calibri"/>
              </w:rPr>
            </w:pPr>
            <w:r w:rsidRPr="00C2128F">
              <w:rPr>
                <w:rFonts w:cs="Calibri"/>
              </w:rPr>
              <w:t>Uporaba</w:t>
            </w:r>
            <w:r>
              <w:rPr>
                <w:rFonts w:cs="Calibri"/>
              </w:rPr>
              <w:t>:</w:t>
            </w:r>
          </w:p>
          <w:p w:rsidR="004A2D16" w:rsidRDefault="004A2D16" w:rsidP="00E23A40">
            <w:pPr>
              <w:rPr>
                <w:rFonts w:cs="Calibri"/>
              </w:rPr>
            </w:pPr>
            <w:r w:rsidRPr="0048467A">
              <w:rPr>
                <w:rFonts w:cs="Calibri"/>
              </w:rPr>
              <w:t>Predznanje za nadaljevanje študija in uporaba v praksi pri visokonapetostnem preizkušanju opreme.</w:t>
            </w:r>
          </w:p>
          <w:p w:rsidR="00E23A40" w:rsidRDefault="00E23A40" w:rsidP="00E23A40">
            <w:pPr>
              <w:rPr>
                <w:rFonts w:cs="Calibri"/>
              </w:rPr>
            </w:pPr>
          </w:p>
          <w:p w:rsidR="004A2D16" w:rsidRDefault="004A2D16" w:rsidP="00E23A40">
            <w:pPr>
              <w:rPr>
                <w:rFonts w:cs="Calibri"/>
              </w:rPr>
            </w:pPr>
            <w:r w:rsidRPr="00C2128F">
              <w:rPr>
                <w:rFonts w:cs="Calibri"/>
              </w:rPr>
              <w:t>Refleksija</w:t>
            </w:r>
            <w:r>
              <w:rPr>
                <w:rFonts w:cs="Calibri"/>
              </w:rPr>
              <w:t>:</w:t>
            </w:r>
          </w:p>
          <w:p w:rsidR="004A2D16" w:rsidRDefault="004A2D16" w:rsidP="00E23A40">
            <w:pPr>
              <w:rPr>
                <w:rFonts w:cs="Calibri"/>
              </w:rPr>
            </w:pPr>
            <w:r w:rsidRPr="0048467A">
              <w:rPr>
                <w:rFonts w:cs="Calibri"/>
              </w:rPr>
              <w:t>Razumevanje povezave med visoko napetostjo, načrtovanjem opreme in strukturo elektroenergetskega omrežja.</w:t>
            </w:r>
          </w:p>
          <w:p w:rsidR="00E23A40" w:rsidRDefault="00E23A40" w:rsidP="00E23A40">
            <w:pPr>
              <w:rPr>
                <w:rFonts w:cs="Calibri"/>
              </w:rPr>
            </w:pPr>
          </w:p>
          <w:p w:rsidR="004A2D16" w:rsidRDefault="004A2D16" w:rsidP="00E23A40">
            <w:pPr>
              <w:rPr>
                <w:rFonts w:cs="Calibri"/>
              </w:rPr>
            </w:pPr>
            <w:r w:rsidRPr="00C2128F">
              <w:rPr>
                <w:rFonts w:cs="Calibri"/>
              </w:rPr>
              <w:t>Prenosljive spretnosti</w:t>
            </w:r>
            <w:r>
              <w:rPr>
                <w:rFonts w:cs="Calibri"/>
              </w:rPr>
              <w:t>:</w:t>
            </w:r>
          </w:p>
          <w:p w:rsidR="00FA09C6" w:rsidRPr="00567D4C" w:rsidRDefault="004A2D16" w:rsidP="00E23A40">
            <w:pPr>
              <w:rPr>
                <w:rFonts w:cs="Calibri"/>
              </w:rPr>
            </w:pPr>
            <w:r w:rsidRPr="0048467A">
              <w:rPr>
                <w:rFonts w:cs="Calibri"/>
              </w:rPr>
              <w:t xml:space="preserve">Znanje o postopku izvedbe meritev in izdelavi merilne dokumentacije je splošno uporabno </w:t>
            </w:r>
            <w:r w:rsidRPr="0048467A">
              <w:rPr>
                <w:rFonts w:cs="Calibri"/>
              </w:rPr>
              <w:lastRenderedPageBreak/>
              <w:t>pri izvajanju različnih meritev.</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4A2D16" w:rsidRPr="00C2245B" w:rsidRDefault="004A2D16" w:rsidP="004A2D16">
            <w:pPr>
              <w:jc w:val="both"/>
              <w:rPr>
                <w:rFonts w:cs="Calibri"/>
                <w:lang w:val="en-US"/>
              </w:rPr>
            </w:pPr>
            <w:r w:rsidRPr="00C2245B">
              <w:rPr>
                <w:rFonts w:cs="Calibri"/>
                <w:lang w:val="en-US"/>
              </w:rPr>
              <w:t xml:space="preserve">Knowledge and </w:t>
            </w:r>
            <w:r>
              <w:rPr>
                <w:rFonts w:cs="Calibri"/>
                <w:lang w:val="en-US"/>
              </w:rPr>
              <w:t>u</w:t>
            </w:r>
            <w:r w:rsidRPr="00C2245B">
              <w:rPr>
                <w:rFonts w:cs="Calibri"/>
                <w:lang w:val="en-US"/>
              </w:rPr>
              <w:t>nderstanding</w:t>
            </w:r>
            <w:r>
              <w:rPr>
                <w:rFonts w:cs="Calibri"/>
                <w:lang w:val="en-US"/>
              </w:rPr>
              <w:t>:</w:t>
            </w:r>
          </w:p>
          <w:p w:rsidR="004A2D16" w:rsidRPr="00C2245B" w:rsidRDefault="004A2D16" w:rsidP="004A2D16">
            <w:pPr>
              <w:jc w:val="both"/>
              <w:rPr>
                <w:rFonts w:cs="Calibri"/>
                <w:lang w:val="en-US"/>
              </w:rPr>
            </w:pPr>
            <w:r w:rsidRPr="00C2245B">
              <w:rPr>
                <w:rFonts w:cs="Calibri"/>
                <w:lang w:val="en-US"/>
              </w:rPr>
              <w:t xml:space="preserve">The student will understand the importance of high </w:t>
            </w:r>
            <w:r>
              <w:rPr>
                <w:rFonts w:cs="Calibri"/>
                <w:lang w:val="en-US"/>
              </w:rPr>
              <w:t>voltage</w:t>
            </w:r>
            <w:r w:rsidRPr="00C2245B">
              <w:rPr>
                <w:rFonts w:cs="Calibri"/>
                <w:lang w:val="en-US"/>
              </w:rPr>
              <w:t xml:space="preserve"> </w:t>
            </w:r>
            <w:r>
              <w:rPr>
                <w:rFonts w:cs="Calibri"/>
                <w:lang w:val="en-US"/>
              </w:rPr>
              <w:t>for</w:t>
            </w:r>
            <w:r w:rsidRPr="00C2245B">
              <w:rPr>
                <w:rFonts w:cs="Calibri"/>
                <w:lang w:val="en-US"/>
              </w:rPr>
              <w:t xml:space="preserve"> planning and operation of the </w:t>
            </w:r>
            <w:r>
              <w:rPr>
                <w:rFonts w:cs="Calibri"/>
                <w:lang w:val="en-US"/>
              </w:rPr>
              <w:t>power</w:t>
            </w:r>
            <w:r w:rsidRPr="00C2245B">
              <w:rPr>
                <w:rFonts w:cs="Calibri"/>
                <w:lang w:val="en-US"/>
              </w:rPr>
              <w:t xml:space="preserve"> network. </w:t>
            </w:r>
            <w:r>
              <w:rPr>
                <w:rFonts w:cs="Calibri"/>
                <w:lang w:val="en-US"/>
              </w:rPr>
              <w:t>The student will also learn about testing</w:t>
            </w:r>
            <w:r w:rsidRPr="00C2245B">
              <w:rPr>
                <w:rFonts w:cs="Calibri"/>
                <w:lang w:val="en-US"/>
              </w:rPr>
              <w:t xml:space="preserve"> methods </w:t>
            </w:r>
            <w:r>
              <w:rPr>
                <w:rFonts w:cs="Calibri"/>
                <w:lang w:val="en-US"/>
              </w:rPr>
              <w:t>for</w:t>
            </w:r>
            <w:r w:rsidRPr="00C2245B">
              <w:rPr>
                <w:rFonts w:cs="Calibri"/>
                <w:lang w:val="en-US"/>
              </w:rPr>
              <w:t xml:space="preserve"> electricity equipment </w:t>
            </w:r>
            <w:r>
              <w:rPr>
                <w:rFonts w:cs="Calibri"/>
                <w:lang w:val="en-US"/>
              </w:rPr>
              <w:t xml:space="preserve">testing </w:t>
            </w:r>
            <w:r w:rsidRPr="00C2245B">
              <w:rPr>
                <w:rFonts w:cs="Calibri"/>
                <w:lang w:val="en-US"/>
              </w:rPr>
              <w:t xml:space="preserve">in </w:t>
            </w:r>
            <w:r>
              <w:rPr>
                <w:rFonts w:cs="Calibri"/>
                <w:lang w:val="en-US"/>
              </w:rPr>
              <w:t xml:space="preserve">a </w:t>
            </w:r>
            <w:r w:rsidRPr="00C2245B">
              <w:rPr>
                <w:rFonts w:cs="Calibri"/>
                <w:lang w:val="en-US"/>
              </w:rPr>
              <w:t>high voltage laboratory.</w:t>
            </w:r>
          </w:p>
          <w:p w:rsidR="00E23A40" w:rsidRDefault="00E23A40" w:rsidP="004A2D16">
            <w:pPr>
              <w:jc w:val="both"/>
              <w:rPr>
                <w:rFonts w:cs="Calibri"/>
                <w:lang w:val="en-US"/>
              </w:rPr>
            </w:pPr>
          </w:p>
          <w:p w:rsidR="004A2D16" w:rsidRPr="00C2245B" w:rsidRDefault="004A2D16" w:rsidP="004A2D16">
            <w:pPr>
              <w:jc w:val="both"/>
              <w:rPr>
                <w:rFonts w:cs="Calibri"/>
                <w:lang w:val="en-US"/>
              </w:rPr>
            </w:pPr>
            <w:r w:rsidRPr="00C2245B">
              <w:rPr>
                <w:rFonts w:cs="Calibri"/>
                <w:lang w:val="en-US"/>
              </w:rPr>
              <w:t>Application</w:t>
            </w:r>
            <w:r>
              <w:rPr>
                <w:rFonts w:cs="Calibri"/>
                <w:lang w:val="en-US"/>
              </w:rPr>
              <w:t>:</w:t>
            </w:r>
          </w:p>
          <w:p w:rsidR="004A2D16" w:rsidRPr="00C2245B" w:rsidRDefault="004A2D16" w:rsidP="004A2D16">
            <w:pPr>
              <w:jc w:val="both"/>
              <w:rPr>
                <w:rFonts w:cs="Calibri"/>
                <w:lang w:val="en-US"/>
              </w:rPr>
            </w:pPr>
            <w:r w:rsidRPr="00C2245B">
              <w:rPr>
                <w:rFonts w:cs="Calibri"/>
                <w:lang w:val="en-US"/>
              </w:rPr>
              <w:t xml:space="preserve">Prerequisites for further study and practical application </w:t>
            </w:r>
            <w:r>
              <w:rPr>
                <w:rFonts w:cs="Calibri"/>
                <w:lang w:val="en-US"/>
              </w:rPr>
              <w:t xml:space="preserve">at </w:t>
            </w:r>
            <w:r w:rsidRPr="00C2245B">
              <w:rPr>
                <w:rFonts w:cs="Calibri"/>
                <w:lang w:val="en-US"/>
              </w:rPr>
              <w:t>high voltage equipment test</w:t>
            </w:r>
            <w:r>
              <w:rPr>
                <w:rFonts w:cs="Calibri"/>
                <w:lang w:val="en-US"/>
              </w:rPr>
              <w:t>ing</w:t>
            </w:r>
            <w:r w:rsidRPr="00C2245B">
              <w:rPr>
                <w:rFonts w:cs="Calibri"/>
                <w:lang w:val="en-US"/>
              </w:rPr>
              <w:t>.</w:t>
            </w:r>
          </w:p>
          <w:p w:rsidR="00E23A40" w:rsidRDefault="00E23A40" w:rsidP="004A2D16">
            <w:pPr>
              <w:jc w:val="both"/>
              <w:rPr>
                <w:rFonts w:cs="Calibri"/>
                <w:lang w:val="en-US"/>
              </w:rPr>
            </w:pPr>
          </w:p>
          <w:p w:rsidR="004A2D16" w:rsidRPr="00C2245B" w:rsidRDefault="004A2D16" w:rsidP="004A2D16">
            <w:pPr>
              <w:jc w:val="both"/>
              <w:rPr>
                <w:rFonts w:cs="Calibri"/>
                <w:lang w:val="en-US"/>
              </w:rPr>
            </w:pPr>
            <w:r w:rsidRPr="00C2245B">
              <w:rPr>
                <w:rFonts w:cs="Calibri"/>
                <w:lang w:val="en-US"/>
              </w:rPr>
              <w:t>Reflection</w:t>
            </w:r>
            <w:r>
              <w:rPr>
                <w:rFonts w:cs="Calibri"/>
                <w:lang w:val="en-US"/>
              </w:rPr>
              <w:t>:</w:t>
            </w:r>
          </w:p>
          <w:p w:rsidR="004A2D16" w:rsidRPr="00C2245B" w:rsidRDefault="004A2D16" w:rsidP="004A2D16">
            <w:pPr>
              <w:jc w:val="both"/>
              <w:rPr>
                <w:rFonts w:cs="Calibri"/>
                <w:lang w:val="en-US"/>
              </w:rPr>
            </w:pPr>
            <w:r w:rsidRPr="00C2245B">
              <w:rPr>
                <w:rFonts w:cs="Calibri"/>
                <w:lang w:val="en-US"/>
              </w:rPr>
              <w:t xml:space="preserve">Understanding the </w:t>
            </w:r>
            <w:r>
              <w:rPr>
                <w:rFonts w:cs="Calibri"/>
                <w:lang w:val="en-US"/>
              </w:rPr>
              <w:t>connection</w:t>
            </w:r>
            <w:r w:rsidRPr="00C2245B">
              <w:rPr>
                <w:rFonts w:cs="Calibri"/>
                <w:lang w:val="en-US"/>
              </w:rPr>
              <w:t xml:space="preserve"> between high voltage</w:t>
            </w:r>
            <w:r>
              <w:rPr>
                <w:rFonts w:cs="Calibri"/>
                <w:lang w:val="en-US"/>
              </w:rPr>
              <w:t>,</w:t>
            </w:r>
            <w:r w:rsidRPr="00C2245B">
              <w:rPr>
                <w:rFonts w:cs="Calibri"/>
                <w:lang w:val="en-US"/>
              </w:rPr>
              <w:t xml:space="preserve"> equipment design and structure of the </w:t>
            </w:r>
            <w:r>
              <w:rPr>
                <w:rFonts w:cs="Calibri"/>
                <w:lang w:val="en-US"/>
              </w:rPr>
              <w:t>power network</w:t>
            </w:r>
            <w:r w:rsidRPr="00C2245B">
              <w:rPr>
                <w:rFonts w:cs="Calibri"/>
                <w:lang w:val="en-US"/>
              </w:rPr>
              <w:t>.</w:t>
            </w:r>
          </w:p>
          <w:p w:rsidR="00E23A40" w:rsidRDefault="00E23A40" w:rsidP="004A2D16">
            <w:pPr>
              <w:jc w:val="both"/>
              <w:rPr>
                <w:rFonts w:cs="Calibri"/>
                <w:lang w:val="en-US"/>
              </w:rPr>
            </w:pPr>
          </w:p>
          <w:p w:rsidR="004A2D16" w:rsidRPr="00C2245B" w:rsidRDefault="004A2D16" w:rsidP="004A2D16">
            <w:pPr>
              <w:jc w:val="both"/>
              <w:rPr>
                <w:rFonts w:cs="Calibri"/>
                <w:lang w:val="en-US"/>
              </w:rPr>
            </w:pPr>
            <w:r>
              <w:rPr>
                <w:rFonts w:cs="Calibri"/>
                <w:lang w:val="en-US"/>
              </w:rPr>
              <w:t>Transferable skills:</w:t>
            </w:r>
          </w:p>
          <w:p w:rsidR="00FA09C6" w:rsidRPr="00567D4C" w:rsidRDefault="004A2D16" w:rsidP="004A2D16">
            <w:pPr>
              <w:rPr>
                <w:rFonts w:cs="Calibri"/>
                <w:lang w:val="en-GB"/>
              </w:rPr>
            </w:pPr>
            <w:r w:rsidRPr="00C2245B">
              <w:rPr>
                <w:rFonts w:cs="Calibri"/>
                <w:lang w:val="en-US"/>
              </w:rPr>
              <w:t xml:space="preserve">Knowledge </w:t>
            </w:r>
            <w:r>
              <w:rPr>
                <w:rFonts w:cs="Calibri"/>
                <w:lang w:val="en-US"/>
              </w:rPr>
              <w:t>of measurements procedure</w:t>
            </w:r>
            <w:r w:rsidRPr="00C2245B">
              <w:rPr>
                <w:rFonts w:cs="Calibri"/>
                <w:lang w:val="en-US"/>
              </w:rPr>
              <w:t xml:space="preserve"> and </w:t>
            </w:r>
            <w:r>
              <w:rPr>
                <w:rFonts w:cs="Calibri"/>
                <w:lang w:val="en-US"/>
              </w:rPr>
              <w:t>report generation</w:t>
            </w:r>
            <w:r w:rsidRPr="00C2245B">
              <w:rPr>
                <w:rFonts w:cs="Calibri"/>
                <w:lang w:val="en-US"/>
              </w:rPr>
              <w:t xml:space="preserve"> is useful </w:t>
            </w:r>
            <w:r>
              <w:rPr>
                <w:rFonts w:cs="Calibri"/>
                <w:lang w:val="en-US"/>
              </w:rPr>
              <w:t>in the frame of</w:t>
            </w:r>
            <w:r w:rsidRPr="00C2245B">
              <w:rPr>
                <w:rFonts w:cs="Calibri"/>
                <w:lang w:val="en-US"/>
              </w:rPr>
              <w:t xml:space="preserve"> various measurements.</w:t>
            </w:r>
          </w:p>
        </w:tc>
      </w:tr>
      <w:tr w:rsidR="00FA09C6" w:rsidRPr="00567D4C" w:rsidTr="00970447">
        <w:trPr>
          <w:trHeight w:val="80"/>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Learning and teaching methods:</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FA09C6" w:rsidRPr="00567D4C" w:rsidRDefault="00E23A40" w:rsidP="00FA09C6">
            <w:pPr>
              <w:jc w:val="both"/>
              <w:rPr>
                <w:rFonts w:cs="Calibri"/>
              </w:rPr>
            </w:pPr>
            <w:r w:rsidRPr="00E23A40">
              <w:rPr>
                <w:rFonts w:cs="Calibri"/>
              </w:rPr>
              <w:t>Predavanja, avditorne in laboratorijske vaje.</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A04B34" w:rsidP="006310CB">
            <w:pPr>
              <w:rPr>
                <w:rFonts w:cs="Calibri"/>
              </w:rPr>
            </w:pPr>
            <w:r w:rsidRPr="001E3414">
              <w:rPr>
                <w:rFonts w:cs="Calibri"/>
                <w:lang w:val="en-US"/>
              </w:rPr>
              <w:t xml:space="preserve">Lectures, </w:t>
            </w:r>
            <w:r>
              <w:rPr>
                <w:rFonts w:cs="Calibri"/>
                <w:lang w:val="en-US"/>
              </w:rPr>
              <w:t>tu</w:t>
            </w:r>
            <w:r w:rsidR="006310CB">
              <w:rPr>
                <w:rFonts w:cs="Calibri"/>
                <w:lang w:val="en-US"/>
              </w:rPr>
              <w:t xml:space="preserve">torials and </w:t>
            </w:r>
            <w:r>
              <w:rPr>
                <w:rFonts w:cs="Calibri"/>
                <w:lang w:val="en-US"/>
              </w:rPr>
              <w:t xml:space="preserve">laboratory </w:t>
            </w:r>
            <w:r w:rsidR="006310CB">
              <w:rPr>
                <w:rFonts w:cs="Calibri"/>
                <w:lang w:val="en-US"/>
              </w:rPr>
              <w:t>practice</w:t>
            </w:r>
            <w:r w:rsidRPr="001E3414">
              <w:rPr>
                <w:rFonts w:cs="Calibri"/>
                <w:lang w:val="en-US"/>
              </w:rPr>
              <w:t>.</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r w:rsidRPr="00567D4C">
              <w:rPr>
                <w:rFonts w:cs="Calibri"/>
                <w:szCs w:val="22"/>
              </w:rPr>
              <w:t>Weight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Assessment:</w:t>
            </w:r>
          </w:p>
        </w:tc>
      </w:tr>
      <w:tr w:rsidR="00FA09C6" w:rsidTr="00A933C0">
        <w:trPr>
          <w:trHeight w:val="533"/>
        </w:trPr>
        <w:tc>
          <w:tcPr>
            <w:tcW w:w="4020" w:type="dxa"/>
            <w:tcBorders>
              <w:top w:val="single" w:sz="4" w:space="0" w:color="auto"/>
              <w:left w:val="single" w:sz="4" w:space="0" w:color="auto"/>
              <w:bottom w:val="single" w:sz="4" w:space="0" w:color="auto"/>
              <w:right w:val="single" w:sz="4" w:space="0" w:color="auto"/>
            </w:tcBorders>
          </w:tcPr>
          <w:p w:rsidR="00970447" w:rsidRDefault="00970447" w:rsidP="00413754">
            <w:r w:rsidRPr="0044634C">
              <w:t>Pogoj za opravljanje ustnega izpita je pozitivna ocena poročila o opravljenih vajah.</w:t>
            </w:r>
          </w:p>
          <w:p w:rsidR="00413754" w:rsidRPr="00802DB4" w:rsidRDefault="00413754" w:rsidP="00413754">
            <w:pPr>
              <w:rPr>
                <w:rFonts w:cs="Calibri"/>
              </w:rPr>
            </w:pPr>
            <w:r w:rsidRPr="00802DB4">
              <w:rPr>
                <w:rFonts w:cs="Calibri"/>
              </w:rPr>
              <w:t>Način: laboratorijske vaje, pisni izpit, ustni izpit.</w:t>
            </w:r>
          </w:p>
          <w:p w:rsidR="00413754" w:rsidRPr="00802DB4" w:rsidRDefault="00413754" w:rsidP="00413754">
            <w:pPr>
              <w:rPr>
                <w:rFonts w:cs="Calibri"/>
              </w:rPr>
            </w:pPr>
            <w:r w:rsidRPr="00802DB4">
              <w:rPr>
                <w:rFonts w:cs="Calibri"/>
              </w:rPr>
              <w:t>Ocene od 1 do vključno 5 so negativne, ocene od vključno 6 do 10 so pozitivne.</w:t>
            </w:r>
          </w:p>
          <w:p w:rsidR="00413754" w:rsidRPr="00802DB4" w:rsidRDefault="00413754" w:rsidP="00413754">
            <w:pPr>
              <w:rPr>
                <w:rFonts w:cs="Calibri"/>
              </w:rPr>
            </w:pPr>
            <w:r w:rsidRPr="00802DB4">
              <w:rPr>
                <w:rFonts w:cs="Calibri"/>
              </w:rPr>
              <w:t>Pozitivna ocena laboratorijskih vaj je pogoj za pristop k izpitu.</w:t>
            </w:r>
          </w:p>
          <w:p w:rsidR="00413754" w:rsidRPr="00802DB4" w:rsidRDefault="00413754" w:rsidP="00413754">
            <w:pPr>
              <w:rPr>
                <w:rFonts w:cs="Calibri"/>
              </w:rPr>
            </w:pPr>
            <w:r w:rsidRPr="00802DB4">
              <w:rPr>
                <w:rFonts w:cs="Calibri"/>
              </w:rPr>
              <w:t>Prispevki k oceni:</w:t>
            </w:r>
          </w:p>
          <w:p w:rsidR="00413754" w:rsidRPr="00802DB4" w:rsidRDefault="00413754" w:rsidP="00413754">
            <w:pPr>
              <w:rPr>
                <w:rFonts w:cs="Calibri"/>
              </w:rPr>
            </w:pPr>
            <w:r w:rsidRPr="00802DB4">
              <w:rPr>
                <w:rFonts w:cs="Calibri"/>
              </w:rPr>
              <w:t>laboratorijske vaje</w:t>
            </w:r>
          </w:p>
          <w:p w:rsidR="00413754" w:rsidRPr="00802DB4" w:rsidRDefault="00413754" w:rsidP="00413754">
            <w:pPr>
              <w:rPr>
                <w:rFonts w:cs="Calibri"/>
              </w:rPr>
            </w:pPr>
            <w:r w:rsidRPr="00802DB4">
              <w:rPr>
                <w:rFonts w:cs="Calibri"/>
              </w:rPr>
              <w:t>pisni izpit</w:t>
            </w:r>
          </w:p>
          <w:p w:rsidR="00FA09C6" w:rsidRPr="00C9736C" w:rsidRDefault="00413754" w:rsidP="00C9736C">
            <w:pPr>
              <w:jc w:val="both"/>
              <w:rPr>
                <w:rFonts w:cs="Calibri"/>
                <w:szCs w:val="22"/>
              </w:rPr>
            </w:pPr>
            <w:r w:rsidRPr="00802DB4">
              <w:rPr>
                <w:rFonts w:cs="Calibri"/>
              </w:rPr>
              <w:t>ustni izpit</w:t>
            </w:r>
          </w:p>
        </w:tc>
        <w:tc>
          <w:tcPr>
            <w:tcW w:w="1560" w:type="dxa"/>
            <w:gridSpan w:val="4"/>
            <w:tcBorders>
              <w:top w:val="single" w:sz="4" w:space="0" w:color="auto"/>
              <w:left w:val="single" w:sz="4" w:space="0" w:color="auto"/>
              <w:bottom w:val="single" w:sz="4" w:space="0" w:color="auto"/>
              <w:right w:val="single" w:sz="4" w:space="0" w:color="auto"/>
            </w:tcBorders>
          </w:tcPr>
          <w:p w:rsidR="00413754" w:rsidRDefault="00413754" w:rsidP="00A933C0">
            <w:pPr>
              <w:rPr>
                <w:rFonts w:cs="Calibri"/>
                <w:szCs w:val="22"/>
                <w:lang w:val="en-GB"/>
              </w:rPr>
            </w:pPr>
          </w:p>
          <w:p w:rsidR="00413754" w:rsidRDefault="00413754" w:rsidP="00A933C0">
            <w:pPr>
              <w:rPr>
                <w:rFonts w:cs="Calibri"/>
                <w:szCs w:val="22"/>
                <w:lang w:val="en-GB"/>
              </w:rPr>
            </w:pPr>
          </w:p>
          <w:p w:rsidR="00413754" w:rsidRDefault="00413754" w:rsidP="00A933C0">
            <w:pPr>
              <w:rPr>
                <w:rFonts w:cs="Calibri"/>
                <w:szCs w:val="22"/>
                <w:lang w:val="en-GB"/>
              </w:rPr>
            </w:pPr>
          </w:p>
          <w:p w:rsidR="00413754" w:rsidRDefault="00413754" w:rsidP="00A933C0">
            <w:pPr>
              <w:rPr>
                <w:rFonts w:cs="Calibri"/>
                <w:szCs w:val="22"/>
                <w:lang w:val="en-GB"/>
              </w:rPr>
            </w:pPr>
          </w:p>
          <w:p w:rsidR="00413754" w:rsidRDefault="00413754" w:rsidP="00A933C0">
            <w:pPr>
              <w:rPr>
                <w:rFonts w:cs="Calibri"/>
                <w:szCs w:val="22"/>
                <w:lang w:val="en-GB"/>
              </w:rPr>
            </w:pPr>
          </w:p>
          <w:p w:rsidR="00970447" w:rsidRDefault="00970447" w:rsidP="00A933C0">
            <w:pPr>
              <w:rPr>
                <w:rFonts w:cs="Calibri"/>
                <w:szCs w:val="22"/>
                <w:lang w:val="en-GB"/>
              </w:rPr>
            </w:pPr>
          </w:p>
          <w:p w:rsidR="00970447" w:rsidRDefault="00970447" w:rsidP="00A933C0">
            <w:pPr>
              <w:rPr>
                <w:rFonts w:cs="Calibri"/>
                <w:szCs w:val="22"/>
                <w:lang w:val="en-GB"/>
              </w:rPr>
            </w:pPr>
          </w:p>
          <w:p w:rsidR="00970447" w:rsidRDefault="00970447" w:rsidP="00A933C0">
            <w:pPr>
              <w:rPr>
                <w:rFonts w:cs="Calibri"/>
                <w:szCs w:val="22"/>
                <w:lang w:val="en-GB"/>
              </w:rPr>
            </w:pPr>
            <w:bookmarkStart w:id="6" w:name="_GoBack"/>
            <w:bookmarkEnd w:id="6"/>
          </w:p>
          <w:p w:rsidR="00413754" w:rsidRDefault="00413754" w:rsidP="00A933C0">
            <w:pPr>
              <w:rPr>
                <w:rFonts w:cs="Calibri"/>
                <w:szCs w:val="22"/>
                <w:lang w:val="en-GB"/>
              </w:rPr>
            </w:pPr>
          </w:p>
          <w:p w:rsidR="00413754" w:rsidRDefault="00413754" w:rsidP="00A933C0">
            <w:pPr>
              <w:rPr>
                <w:rFonts w:cs="Calibri"/>
                <w:szCs w:val="22"/>
                <w:lang w:val="en-GB"/>
              </w:rPr>
            </w:pPr>
          </w:p>
          <w:p w:rsidR="00A933C0" w:rsidRDefault="00413754" w:rsidP="00A933C0">
            <w:pPr>
              <w:rPr>
                <w:rFonts w:cs="Calibri"/>
                <w:lang w:val="en-GB"/>
              </w:rPr>
            </w:pPr>
            <w:r>
              <w:rPr>
                <w:rFonts w:cs="Calibri"/>
                <w:szCs w:val="22"/>
                <w:lang w:val="en-GB"/>
              </w:rPr>
              <w:t>34</w:t>
            </w:r>
            <w:r w:rsidR="00A933C0">
              <w:rPr>
                <w:rFonts w:cs="Calibri"/>
                <w:szCs w:val="22"/>
                <w:lang w:val="en-GB"/>
              </w:rPr>
              <w:t>%</w:t>
            </w:r>
          </w:p>
          <w:p w:rsidR="00A933C0" w:rsidRDefault="00413754" w:rsidP="00A933C0">
            <w:pPr>
              <w:rPr>
                <w:rFonts w:cs="Calibri"/>
                <w:lang w:val="en-GB"/>
              </w:rPr>
            </w:pPr>
            <w:r>
              <w:rPr>
                <w:rFonts w:cs="Calibri"/>
                <w:szCs w:val="22"/>
                <w:lang w:val="en-GB"/>
              </w:rPr>
              <w:t>33</w:t>
            </w:r>
            <w:r w:rsidR="00A933C0">
              <w:rPr>
                <w:rFonts w:cs="Calibri"/>
                <w:szCs w:val="22"/>
                <w:lang w:val="en-GB"/>
              </w:rPr>
              <w:t>%</w:t>
            </w:r>
          </w:p>
          <w:p w:rsidR="00FA09C6" w:rsidRPr="00C72078" w:rsidRDefault="00413754" w:rsidP="00A933C0">
            <w:pPr>
              <w:rPr>
                <w:rFonts w:cs="Calibri"/>
                <w:b/>
              </w:rPr>
            </w:pPr>
            <w:r>
              <w:rPr>
                <w:rFonts w:cs="Calibri"/>
                <w:szCs w:val="22"/>
                <w:lang w:val="en-GB"/>
              </w:rPr>
              <w:t>33</w:t>
            </w:r>
            <w:r w:rsidR="00A933C0">
              <w:rPr>
                <w:rFonts w:cs="Calibri"/>
                <w:szCs w:val="22"/>
                <w:lang w:val="en-GB"/>
              </w:rPr>
              <w:t>%</w:t>
            </w:r>
          </w:p>
        </w:tc>
        <w:tc>
          <w:tcPr>
            <w:tcW w:w="4110" w:type="dxa"/>
            <w:tcBorders>
              <w:top w:val="single" w:sz="4" w:space="0" w:color="auto"/>
              <w:left w:val="single" w:sz="4" w:space="0" w:color="auto"/>
              <w:bottom w:val="single" w:sz="4" w:space="0" w:color="auto"/>
              <w:right w:val="single" w:sz="4" w:space="0" w:color="auto"/>
            </w:tcBorders>
          </w:tcPr>
          <w:p w:rsidR="00970447" w:rsidRDefault="00970447" w:rsidP="00C9736C">
            <w:pPr>
              <w:rPr>
                <w:rStyle w:val="hps"/>
                <w:lang w:val="en-US"/>
              </w:rPr>
            </w:pPr>
            <w:r w:rsidRPr="00265CCC">
              <w:rPr>
                <w:rStyle w:val="hps"/>
                <w:lang w:val="en-US"/>
              </w:rPr>
              <w:t>The prerequisite</w:t>
            </w:r>
            <w:r w:rsidRPr="00265CCC">
              <w:rPr>
                <w:lang w:val="en-US"/>
              </w:rPr>
              <w:t xml:space="preserve"> </w:t>
            </w:r>
            <w:r w:rsidRPr="00265CCC">
              <w:rPr>
                <w:rStyle w:val="hps"/>
                <w:lang w:val="en-US"/>
              </w:rPr>
              <w:t>for</w:t>
            </w:r>
            <w:r w:rsidRPr="00265CCC">
              <w:rPr>
                <w:lang w:val="en-US"/>
              </w:rPr>
              <w:t xml:space="preserve"> </w:t>
            </w:r>
            <w:r w:rsidRPr="00265CCC">
              <w:rPr>
                <w:rStyle w:val="hps"/>
                <w:lang w:val="en-US"/>
              </w:rPr>
              <w:t>the oral</w:t>
            </w:r>
            <w:r w:rsidRPr="00265CCC">
              <w:rPr>
                <w:lang w:val="en-US"/>
              </w:rPr>
              <w:t xml:space="preserve"> </w:t>
            </w:r>
            <w:r w:rsidRPr="00265CCC">
              <w:rPr>
                <w:rStyle w:val="hps"/>
                <w:lang w:val="en-US"/>
              </w:rPr>
              <w:t>exam is</w:t>
            </w:r>
            <w:r w:rsidRPr="00265CCC">
              <w:rPr>
                <w:lang w:val="en-US"/>
              </w:rPr>
              <w:t xml:space="preserve"> a </w:t>
            </w:r>
            <w:r w:rsidRPr="00265CCC">
              <w:rPr>
                <w:rStyle w:val="hps"/>
                <w:lang w:val="en-US"/>
              </w:rPr>
              <w:t>positive assessment</w:t>
            </w:r>
            <w:r w:rsidRPr="00265CCC">
              <w:rPr>
                <w:lang w:val="en-US"/>
              </w:rPr>
              <w:t xml:space="preserve"> of tutorials </w:t>
            </w:r>
            <w:r w:rsidRPr="00265CCC">
              <w:rPr>
                <w:rStyle w:val="hps"/>
                <w:lang w:val="en-US"/>
              </w:rPr>
              <w:t>report.</w:t>
            </w:r>
          </w:p>
          <w:p w:rsidR="00C9736C" w:rsidRPr="00802DB4" w:rsidRDefault="00C9736C" w:rsidP="00C9736C">
            <w:pPr>
              <w:rPr>
                <w:rFonts w:cs="Calibri"/>
                <w:lang w:val="en-GB"/>
              </w:rPr>
            </w:pPr>
            <w:r w:rsidRPr="00802DB4">
              <w:rPr>
                <w:rFonts w:cs="Calibri"/>
                <w:lang w:val="en-GB"/>
              </w:rPr>
              <w:t>Type: laboratory exercises, written exam, oral exam.</w:t>
            </w:r>
          </w:p>
          <w:p w:rsidR="00C9736C" w:rsidRPr="00802DB4" w:rsidRDefault="00C9736C" w:rsidP="00C9736C">
            <w:pPr>
              <w:rPr>
                <w:rFonts w:cs="Calibri"/>
                <w:lang w:val="en-GB"/>
              </w:rPr>
            </w:pPr>
            <w:r w:rsidRPr="00802DB4">
              <w:rPr>
                <w:rFonts w:cs="Calibri"/>
                <w:lang w:val="en-GB"/>
              </w:rPr>
              <w:t xml:space="preserve">Negative grades: from 1 to 5, positive grades:  from 6 to 10. </w:t>
            </w:r>
          </w:p>
          <w:p w:rsidR="00C9736C" w:rsidRPr="00802DB4" w:rsidRDefault="00C9736C" w:rsidP="00C9736C">
            <w:pPr>
              <w:rPr>
                <w:rFonts w:cs="Calibri"/>
                <w:lang w:val="en-GB"/>
              </w:rPr>
            </w:pPr>
            <w:r w:rsidRPr="00802DB4">
              <w:rPr>
                <w:rFonts w:cs="Calibri"/>
                <w:lang w:val="en-GB"/>
              </w:rPr>
              <w:t>Positive evaluation of laboratory exercises is a prerequisite for the exam.</w:t>
            </w:r>
          </w:p>
          <w:p w:rsidR="00C9736C" w:rsidRPr="00802DB4" w:rsidRDefault="00C9736C" w:rsidP="00C9736C">
            <w:pPr>
              <w:rPr>
                <w:rFonts w:cs="Calibri"/>
                <w:lang w:val="en-GB"/>
              </w:rPr>
            </w:pPr>
            <w:r w:rsidRPr="00802DB4">
              <w:rPr>
                <w:rFonts w:cs="Calibri"/>
                <w:lang w:val="en-GB"/>
              </w:rPr>
              <w:t>Contributions to final grade:</w:t>
            </w:r>
          </w:p>
          <w:p w:rsidR="00C9736C" w:rsidRPr="00802DB4" w:rsidRDefault="00C9736C" w:rsidP="00C9736C">
            <w:pPr>
              <w:rPr>
                <w:rFonts w:cs="Calibri"/>
                <w:lang w:val="en-GB"/>
              </w:rPr>
            </w:pPr>
            <w:r w:rsidRPr="00802DB4">
              <w:rPr>
                <w:rFonts w:cs="Calibri"/>
                <w:lang w:val="en-GB"/>
              </w:rPr>
              <w:t>laboratory exercises</w:t>
            </w:r>
          </w:p>
          <w:p w:rsidR="00C9736C" w:rsidRPr="00802DB4" w:rsidRDefault="00C9736C" w:rsidP="00C9736C">
            <w:pPr>
              <w:rPr>
                <w:rFonts w:cs="Calibri"/>
                <w:lang w:val="en-GB"/>
              </w:rPr>
            </w:pPr>
            <w:r w:rsidRPr="00802DB4">
              <w:rPr>
                <w:rFonts w:cs="Calibri"/>
                <w:lang w:val="en-GB"/>
              </w:rPr>
              <w:t>written exam</w:t>
            </w:r>
          </w:p>
          <w:p w:rsidR="00A933C0" w:rsidRPr="00C9736C" w:rsidRDefault="00C9736C" w:rsidP="00C9736C">
            <w:pPr>
              <w:jc w:val="both"/>
              <w:rPr>
                <w:rFonts w:cs="Calibri"/>
                <w:szCs w:val="22"/>
                <w:lang w:val="en-GB"/>
              </w:rPr>
            </w:pPr>
            <w:r w:rsidRPr="00802DB4">
              <w:rPr>
                <w:rFonts w:cs="Calibri"/>
                <w:lang w:val="en-GB"/>
              </w:rPr>
              <w:t>oral examination</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Lecturer's references: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C9736C" w:rsidRPr="00C9736C" w:rsidRDefault="00C9736C" w:rsidP="00C9736C">
            <w:pPr>
              <w:rPr>
                <w:rFonts w:cs="Calibri"/>
              </w:rPr>
            </w:pPr>
            <w:r>
              <w:rPr>
                <w:rFonts w:cs="Calibri"/>
              </w:rPr>
              <w:t xml:space="preserve">1. </w:t>
            </w:r>
            <w:r w:rsidRPr="00C9736C">
              <w:rPr>
                <w:rFonts w:cs="Calibri"/>
              </w:rPr>
              <w:t>HERMAN, Leopold, PAPIČ, Igor, BLAŽIČ, Boštjan. A proportional-resonant current controller for selective harmonic compensation in a hybrid active power filter. IEEE transactions on power deliv</w:t>
            </w:r>
            <w:r w:rsidR="0073253C">
              <w:rPr>
                <w:rFonts w:cs="Calibri"/>
              </w:rPr>
              <w:t>ery</w:t>
            </w:r>
            <w:r w:rsidRPr="00C9736C">
              <w:rPr>
                <w:rFonts w:cs="Calibri"/>
              </w:rPr>
              <w:t>, Oct. 2014,</w:t>
            </w:r>
            <w:r w:rsidR="0073253C">
              <w:rPr>
                <w:rFonts w:cs="Calibri"/>
              </w:rPr>
              <w:t xml:space="preserve"> vol. 29, no. 5, str. 2055-2065.</w:t>
            </w:r>
          </w:p>
          <w:p w:rsidR="00FA09C6" w:rsidRPr="00C9736C" w:rsidRDefault="00C9736C" w:rsidP="00C9736C">
            <w:pPr>
              <w:rPr>
                <w:rFonts w:cs="Calibri"/>
              </w:rPr>
            </w:pPr>
            <w:r w:rsidRPr="00C9736C">
              <w:rPr>
                <w:lang w:val="en"/>
              </w:rPr>
              <w:t>2.</w:t>
            </w:r>
            <w:r>
              <w:rPr>
                <w:lang w:val="en"/>
              </w:rPr>
              <w:t xml:space="preserve"> </w:t>
            </w:r>
            <w:r w:rsidR="002849FE" w:rsidRPr="00C9736C">
              <w:rPr>
                <w:lang w:val="en"/>
              </w:rPr>
              <w:t xml:space="preserve">KOLENC, Marko, PAPIČ, Igor, BLAŽIČ, Boštjan. Minimization of losses in smart grids using coordinated voltage control. </w:t>
            </w:r>
            <w:r w:rsidR="002849FE" w:rsidRPr="00C9736C">
              <w:rPr>
                <w:iCs/>
                <w:lang w:val="en"/>
              </w:rPr>
              <w:t>Energies</w:t>
            </w:r>
            <w:r w:rsidR="002849FE" w:rsidRPr="00C9736C">
              <w:rPr>
                <w:lang w:val="en"/>
              </w:rPr>
              <w:t>, Oct. 2012, vol. 5, no. 10, str. 3768-3787.</w:t>
            </w:r>
          </w:p>
          <w:p w:rsidR="002849FE" w:rsidRPr="00C9736C" w:rsidRDefault="00C9736C" w:rsidP="00C9736C">
            <w:pPr>
              <w:rPr>
                <w:rFonts w:cs="Calibri"/>
              </w:rPr>
            </w:pPr>
            <w:r>
              <w:rPr>
                <w:lang w:val="en"/>
              </w:rPr>
              <w:t xml:space="preserve">3. </w:t>
            </w:r>
            <w:r w:rsidR="002849FE" w:rsidRPr="00C9736C">
              <w:rPr>
                <w:lang w:val="en"/>
              </w:rPr>
              <w:t xml:space="preserve">MAKSIĆ, Miloš, PAPIČ, Igor. Calculating flicker propagation in a meshed high voltage network with interharmonics and representative voltage samples. </w:t>
            </w:r>
            <w:r w:rsidR="002849FE" w:rsidRPr="00C9736C">
              <w:rPr>
                <w:iCs/>
                <w:lang w:val="en"/>
              </w:rPr>
              <w:t>International journal of electrical power &amp; energy systems</w:t>
            </w:r>
            <w:r w:rsidR="002849FE" w:rsidRPr="00C9736C">
              <w:rPr>
                <w:lang w:val="en"/>
              </w:rPr>
              <w:t>, Nov. 2012, vol. 42, no.</w:t>
            </w:r>
            <w:r w:rsidRPr="00C9736C">
              <w:rPr>
                <w:lang w:val="en"/>
              </w:rPr>
              <w:t xml:space="preserve"> 1, str. 179-187</w:t>
            </w:r>
            <w:r w:rsidR="002849FE" w:rsidRPr="00C9736C">
              <w:rPr>
                <w:lang w:val="en"/>
              </w:rPr>
              <w:t>.</w:t>
            </w:r>
          </w:p>
          <w:p w:rsidR="002849FE" w:rsidRPr="00C9736C" w:rsidRDefault="00C9736C" w:rsidP="00C9736C">
            <w:pPr>
              <w:rPr>
                <w:rFonts w:cs="Calibri"/>
              </w:rPr>
            </w:pPr>
            <w:r>
              <w:rPr>
                <w:lang w:val="en"/>
              </w:rPr>
              <w:t xml:space="preserve">4. </w:t>
            </w:r>
            <w:r w:rsidR="002849FE" w:rsidRPr="00C9736C">
              <w:rPr>
                <w:lang w:val="en"/>
              </w:rPr>
              <w:t xml:space="preserve">BOŽIČEK, Ambrož, BLAŽIČ, Boštjan, PAPIČ, Igor. Performance evaluation of a time-optimal current controller for a voltage-source converter and comparison with a hysteresis controller. </w:t>
            </w:r>
            <w:r w:rsidR="002849FE" w:rsidRPr="00C9736C">
              <w:rPr>
                <w:iCs/>
                <w:lang w:val="en"/>
              </w:rPr>
              <w:t>IEEE transactions on power delivery</w:t>
            </w:r>
            <w:r w:rsidR="002849FE" w:rsidRPr="00C9736C">
              <w:rPr>
                <w:lang w:val="en"/>
              </w:rPr>
              <w:t>, 2011, vol. 26, no.</w:t>
            </w:r>
            <w:r w:rsidRPr="00C9736C">
              <w:rPr>
                <w:lang w:val="en"/>
              </w:rPr>
              <w:t xml:space="preserve"> 2, str. 859-868</w:t>
            </w:r>
            <w:r w:rsidR="002849FE" w:rsidRPr="00C9736C">
              <w:rPr>
                <w:lang w:val="en"/>
              </w:rPr>
              <w:t>.</w:t>
            </w:r>
          </w:p>
          <w:p w:rsidR="00C9736C" w:rsidRPr="00C9736C" w:rsidRDefault="00C9736C" w:rsidP="00C9736C">
            <w:pPr>
              <w:rPr>
                <w:rFonts w:cs="Calibri"/>
              </w:rPr>
            </w:pPr>
            <w:r>
              <w:rPr>
                <w:lang w:val="en"/>
              </w:rPr>
              <w:t xml:space="preserve">5. </w:t>
            </w:r>
            <w:r w:rsidR="002849FE" w:rsidRPr="00C9736C">
              <w:rPr>
                <w:lang w:val="en"/>
              </w:rPr>
              <w:t xml:space="preserve">HROBAT, Primož, PAPIČ, Igor. An oscilloscope method for eliminating the interference and disturbance voltages for the earthing measurements of large earthing systems in substations. </w:t>
            </w:r>
            <w:r w:rsidR="002849FE" w:rsidRPr="00C9736C">
              <w:rPr>
                <w:iCs/>
                <w:lang w:val="en"/>
              </w:rPr>
              <w:t>Electric power systems research</w:t>
            </w:r>
            <w:r w:rsidR="002849FE" w:rsidRPr="00C9736C">
              <w:rPr>
                <w:lang w:val="en"/>
              </w:rPr>
              <w:t xml:space="preserve">, </w:t>
            </w:r>
            <w:r w:rsidRPr="00C9736C">
              <w:rPr>
                <w:lang w:val="en"/>
              </w:rPr>
              <w:t>F</w:t>
            </w:r>
            <w:r w:rsidR="002849FE" w:rsidRPr="00C9736C">
              <w:rPr>
                <w:lang w:val="en"/>
              </w:rPr>
              <w:t>eb. 2011, vol. 81, iss.</w:t>
            </w:r>
            <w:r w:rsidRPr="00C9736C">
              <w:rPr>
                <w:lang w:val="en"/>
              </w:rPr>
              <w:t xml:space="preserve"> 2, str. 510-517</w:t>
            </w:r>
            <w:r w:rsidR="002849FE" w:rsidRPr="00C9736C">
              <w:rPr>
                <w:lang w:val="en"/>
              </w:rPr>
              <w:t>.</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A1876"/>
    <w:multiLevelType w:val="hybridMultilevel"/>
    <w:tmpl w:val="3D74022A"/>
    <w:lvl w:ilvl="0" w:tplc="0424000F">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nsid w:val="3E4F24B8"/>
    <w:multiLevelType w:val="hybridMultilevel"/>
    <w:tmpl w:val="A3FEE55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40FF291F"/>
    <w:multiLevelType w:val="hybridMultilevel"/>
    <w:tmpl w:val="0E28621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B368E"/>
    <w:rsid w:val="000C2C3D"/>
    <w:rsid w:val="000C3302"/>
    <w:rsid w:val="000E2535"/>
    <w:rsid w:val="000E605D"/>
    <w:rsid w:val="000F41E9"/>
    <w:rsid w:val="001509CC"/>
    <w:rsid w:val="001955A3"/>
    <w:rsid w:val="001B60F1"/>
    <w:rsid w:val="001C5CD1"/>
    <w:rsid w:val="001D5408"/>
    <w:rsid w:val="001F0D8F"/>
    <w:rsid w:val="00207896"/>
    <w:rsid w:val="00211ED9"/>
    <w:rsid w:val="00264C8D"/>
    <w:rsid w:val="00265CCC"/>
    <w:rsid w:val="002724BA"/>
    <w:rsid w:val="002849FE"/>
    <w:rsid w:val="002F300A"/>
    <w:rsid w:val="00346D09"/>
    <w:rsid w:val="00384EDA"/>
    <w:rsid w:val="003D48ED"/>
    <w:rsid w:val="003D4BAD"/>
    <w:rsid w:val="00413754"/>
    <w:rsid w:val="004A2D16"/>
    <w:rsid w:val="004D6761"/>
    <w:rsid w:val="00502045"/>
    <w:rsid w:val="00530AB8"/>
    <w:rsid w:val="0053523E"/>
    <w:rsid w:val="00567D4C"/>
    <w:rsid w:val="005903BA"/>
    <w:rsid w:val="00597593"/>
    <w:rsid w:val="006253E7"/>
    <w:rsid w:val="006310CB"/>
    <w:rsid w:val="006432C5"/>
    <w:rsid w:val="0064351A"/>
    <w:rsid w:val="006D0473"/>
    <w:rsid w:val="006F412C"/>
    <w:rsid w:val="0073253C"/>
    <w:rsid w:val="00774B86"/>
    <w:rsid w:val="007B22D9"/>
    <w:rsid w:val="0082408F"/>
    <w:rsid w:val="00830F72"/>
    <w:rsid w:val="00834380"/>
    <w:rsid w:val="008F1EB9"/>
    <w:rsid w:val="008F6996"/>
    <w:rsid w:val="009141FB"/>
    <w:rsid w:val="00970447"/>
    <w:rsid w:val="00981675"/>
    <w:rsid w:val="0099267E"/>
    <w:rsid w:val="00A024F8"/>
    <w:rsid w:val="00A02BF5"/>
    <w:rsid w:val="00A04B34"/>
    <w:rsid w:val="00A26AC8"/>
    <w:rsid w:val="00A933C0"/>
    <w:rsid w:val="00AB206F"/>
    <w:rsid w:val="00AE692F"/>
    <w:rsid w:val="00B12423"/>
    <w:rsid w:val="00B37024"/>
    <w:rsid w:val="00B87B5F"/>
    <w:rsid w:val="00BA1F90"/>
    <w:rsid w:val="00C043A7"/>
    <w:rsid w:val="00C16E51"/>
    <w:rsid w:val="00C44581"/>
    <w:rsid w:val="00C9736C"/>
    <w:rsid w:val="00CA026C"/>
    <w:rsid w:val="00CB7384"/>
    <w:rsid w:val="00CD3CC2"/>
    <w:rsid w:val="00D13B46"/>
    <w:rsid w:val="00D16280"/>
    <w:rsid w:val="00D60066"/>
    <w:rsid w:val="00D6220A"/>
    <w:rsid w:val="00D6782B"/>
    <w:rsid w:val="00D774B5"/>
    <w:rsid w:val="00D95DAA"/>
    <w:rsid w:val="00E23A40"/>
    <w:rsid w:val="00E948BA"/>
    <w:rsid w:val="00EE0A8D"/>
    <w:rsid w:val="00EF7242"/>
    <w:rsid w:val="00F547F3"/>
    <w:rsid w:val="00F866D2"/>
    <w:rsid w:val="00FA09C6"/>
    <w:rsid w:val="00FB3C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paragraph" w:styleId="Heading1">
    <w:name w:val="heading 1"/>
    <w:basedOn w:val="Normal"/>
    <w:next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character" w:customStyle="1" w:styleId="Heading1Char">
    <w:name w:val="Heading 1 Char"/>
    <w:basedOn w:val="DefaultParagraphFont"/>
    <w:link w:val="Heading1"/>
    <w:uiPriority w:val="9"/>
    <w:rsid w:val="000C3302"/>
    <w:rPr>
      <w:rFonts w:asciiTheme="majorHAnsi" w:eastAsiaTheme="majorEastAsia" w:hAnsiTheme="majorHAnsi" w:cstheme="majorBidi"/>
      <w:color w:val="365F91" w:themeColor="accent1" w:themeShade="BF"/>
      <w:sz w:val="32"/>
      <w:szCs w:val="32"/>
      <w:lang w:eastAsia="sl-SI"/>
    </w:rPr>
  </w:style>
  <w:style w:type="paragraph" w:styleId="BalloonText">
    <w:name w:val="Balloon Text"/>
    <w:basedOn w:val="Normal"/>
    <w:link w:val="BalloonTextChar"/>
    <w:uiPriority w:val="99"/>
    <w:semiHidden/>
    <w:unhideWhenUsed/>
    <w:rsid w:val="00265CCC"/>
    <w:rPr>
      <w:rFonts w:ascii="Tahoma" w:hAnsi="Tahoma" w:cs="Tahoma"/>
      <w:sz w:val="16"/>
      <w:szCs w:val="16"/>
    </w:rPr>
  </w:style>
  <w:style w:type="character" w:customStyle="1" w:styleId="BalloonTextChar">
    <w:name w:val="Balloon Text Char"/>
    <w:basedOn w:val="DefaultParagraphFont"/>
    <w:link w:val="BalloonText"/>
    <w:uiPriority w:val="99"/>
    <w:semiHidden/>
    <w:rsid w:val="00265CCC"/>
    <w:rPr>
      <w:rFonts w:ascii="Tahoma" w:eastAsia="Calibri" w:hAnsi="Tahoma" w:cs="Tahoma"/>
      <w:sz w:val="16"/>
      <w:szCs w:val="16"/>
      <w:lang w:eastAsia="sl-SI"/>
    </w:rPr>
  </w:style>
  <w:style w:type="character" w:customStyle="1" w:styleId="hps">
    <w:name w:val="hps"/>
    <w:rsid w:val="00265CCC"/>
    <w:rPr>
      <w:rFonts w:cs="Times New Roman"/>
    </w:rPr>
  </w:style>
  <w:style w:type="character" w:styleId="Hyperlink">
    <w:name w:val="Hyperlink"/>
    <w:basedOn w:val="DefaultParagraphFont"/>
    <w:uiPriority w:val="99"/>
    <w:semiHidden/>
    <w:unhideWhenUsed/>
    <w:rsid w:val="002849FE"/>
    <w:rPr>
      <w:color w:val="0000FF"/>
      <w:u w:val="single"/>
    </w:rPr>
  </w:style>
  <w:style w:type="paragraph" w:styleId="ListParagraph">
    <w:name w:val="List Paragraph"/>
    <w:basedOn w:val="Normal"/>
    <w:uiPriority w:val="34"/>
    <w:qFormat/>
    <w:rsid w:val="002849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paragraph" w:styleId="Heading1">
    <w:name w:val="heading 1"/>
    <w:basedOn w:val="Normal"/>
    <w:next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character" w:customStyle="1" w:styleId="Heading1Char">
    <w:name w:val="Heading 1 Char"/>
    <w:basedOn w:val="DefaultParagraphFont"/>
    <w:link w:val="Heading1"/>
    <w:uiPriority w:val="9"/>
    <w:rsid w:val="000C3302"/>
    <w:rPr>
      <w:rFonts w:asciiTheme="majorHAnsi" w:eastAsiaTheme="majorEastAsia" w:hAnsiTheme="majorHAnsi" w:cstheme="majorBidi"/>
      <w:color w:val="365F91" w:themeColor="accent1" w:themeShade="BF"/>
      <w:sz w:val="32"/>
      <w:szCs w:val="32"/>
      <w:lang w:eastAsia="sl-SI"/>
    </w:rPr>
  </w:style>
  <w:style w:type="paragraph" w:styleId="BalloonText">
    <w:name w:val="Balloon Text"/>
    <w:basedOn w:val="Normal"/>
    <w:link w:val="BalloonTextChar"/>
    <w:uiPriority w:val="99"/>
    <w:semiHidden/>
    <w:unhideWhenUsed/>
    <w:rsid w:val="00265CCC"/>
    <w:rPr>
      <w:rFonts w:ascii="Tahoma" w:hAnsi="Tahoma" w:cs="Tahoma"/>
      <w:sz w:val="16"/>
      <w:szCs w:val="16"/>
    </w:rPr>
  </w:style>
  <w:style w:type="character" w:customStyle="1" w:styleId="BalloonTextChar">
    <w:name w:val="Balloon Text Char"/>
    <w:basedOn w:val="DefaultParagraphFont"/>
    <w:link w:val="BalloonText"/>
    <w:uiPriority w:val="99"/>
    <w:semiHidden/>
    <w:rsid w:val="00265CCC"/>
    <w:rPr>
      <w:rFonts w:ascii="Tahoma" w:eastAsia="Calibri" w:hAnsi="Tahoma" w:cs="Tahoma"/>
      <w:sz w:val="16"/>
      <w:szCs w:val="16"/>
      <w:lang w:eastAsia="sl-SI"/>
    </w:rPr>
  </w:style>
  <w:style w:type="character" w:customStyle="1" w:styleId="hps">
    <w:name w:val="hps"/>
    <w:rsid w:val="00265CCC"/>
    <w:rPr>
      <w:rFonts w:cs="Times New Roman"/>
    </w:rPr>
  </w:style>
  <w:style w:type="character" w:styleId="Hyperlink">
    <w:name w:val="Hyperlink"/>
    <w:basedOn w:val="DefaultParagraphFont"/>
    <w:uiPriority w:val="99"/>
    <w:semiHidden/>
    <w:unhideWhenUsed/>
    <w:rsid w:val="002849FE"/>
    <w:rPr>
      <w:color w:val="0000FF"/>
      <w:u w:val="single"/>
    </w:rPr>
  </w:style>
  <w:style w:type="paragraph" w:styleId="ListParagraph">
    <w:name w:val="List Paragraph"/>
    <w:basedOn w:val="Normal"/>
    <w:uiPriority w:val="34"/>
    <w:qFormat/>
    <w:rsid w:val="002849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1050</Words>
  <Characters>5985</Characters>
  <Application>Microsoft Office Word</Application>
  <DocSecurity>0</DocSecurity>
  <Lines>49</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7021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5</cp:revision>
  <dcterms:created xsi:type="dcterms:W3CDTF">2016-05-19T14:09:00Z</dcterms:created>
  <dcterms:modified xsi:type="dcterms:W3CDTF">2016-06-03T16:06:00Z</dcterms:modified>
</cp:coreProperties>
</file>