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CellMar>
          <w:left w:w="51" w:type="dxa"/>
          <w:right w:w="56" w:type="dxa"/>
        </w:tblCellMar>
        <w:tblLook w:val="00A0" w:firstRow="1" w:lastRow="0" w:firstColumn="1" w:lastColumn="0" w:noHBand="0" w:noVBand="0"/>
      </w:tblPr>
      <w:tblGrid>
        <w:gridCol w:w="1410"/>
        <w:gridCol w:w="232"/>
        <w:gridCol w:w="159"/>
        <w:gridCol w:w="1020"/>
        <w:gridCol w:w="488"/>
        <w:gridCol w:w="574"/>
        <w:gridCol w:w="356"/>
        <w:gridCol w:w="481"/>
        <w:gridCol w:w="10"/>
        <w:gridCol w:w="142"/>
        <w:gridCol w:w="785"/>
        <w:gridCol w:w="63"/>
        <w:gridCol w:w="989"/>
        <w:gridCol w:w="364"/>
        <w:gridCol w:w="1194"/>
        <w:gridCol w:w="223"/>
        <w:gridCol w:w="132"/>
        <w:gridCol w:w="1068"/>
      </w:tblGrid>
      <w:tr w:rsidR="00726226" w:rsidTr="009D310A">
        <w:tc>
          <w:tcPr>
            <w:tcW w:w="9688" w:type="dxa"/>
            <w:gridSpan w:val="18"/>
            <w:tcBorders>
              <w:top w:val="single" w:sz="4" w:space="0" w:color="auto"/>
              <w:left w:val="single" w:sz="4" w:space="0" w:color="auto"/>
              <w:bottom w:val="single" w:sz="4" w:space="0" w:color="auto"/>
              <w:right w:val="single" w:sz="4" w:space="0" w:color="auto"/>
            </w:tcBorders>
            <w:shd w:val="clear" w:color="auto" w:fill="E6E6E6"/>
            <w:tcMar>
              <w:left w:w="51" w:type="dxa"/>
            </w:tcMar>
          </w:tcPr>
          <w:p w:rsidR="00726226" w:rsidRDefault="0002545D" w:rsidP="0002545D">
            <w:pPr>
              <w:jc w:val="center"/>
            </w:pPr>
            <w:r>
              <w:rPr>
                <w:rFonts w:cs="Calibri"/>
                <w:b/>
                <w:szCs w:val="22"/>
              </w:rPr>
              <w:t>UČNI NAČRT PREDMETA / COURSE SYLLABUS</w:t>
            </w:r>
          </w:p>
        </w:tc>
      </w:tr>
      <w:tr w:rsidR="00726226" w:rsidTr="009D310A">
        <w:tc>
          <w:tcPr>
            <w:tcW w:w="1799" w:type="dxa"/>
            <w:gridSpan w:val="3"/>
            <w:tcBorders>
              <w:top w:val="single" w:sz="4" w:space="0" w:color="auto"/>
              <w:right w:val="single" w:sz="4" w:space="0" w:color="auto"/>
            </w:tcBorders>
            <w:shd w:val="clear" w:color="auto" w:fill="auto"/>
          </w:tcPr>
          <w:p w:rsidR="00726226" w:rsidRDefault="0002545D">
            <w:pPr>
              <w:rPr>
                <w:rFonts w:cs="Calibri"/>
                <w:b/>
              </w:rPr>
            </w:pPr>
            <w:r>
              <w:rPr>
                <w:rFonts w:cs="Calibri"/>
                <w:b/>
                <w:szCs w:val="22"/>
              </w:rPr>
              <w:t>Predmet:</w:t>
            </w:r>
          </w:p>
        </w:tc>
        <w:tc>
          <w:tcPr>
            <w:tcW w:w="7889" w:type="dxa"/>
            <w:gridSpan w:val="15"/>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Pr="0002545D" w:rsidRDefault="0002545D" w:rsidP="0002545D">
            <w:bookmarkStart w:id="0" w:name="Predmet"/>
            <w:bookmarkEnd w:id="0"/>
            <w:r>
              <w:t>Elektronika v avtomatiki</w:t>
            </w:r>
            <w:bookmarkStart w:id="1" w:name="_GoBack"/>
            <w:bookmarkEnd w:id="1"/>
          </w:p>
        </w:tc>
      </w:tr>
      <w:tr w:rsidR="00726226" w:rsidTr="009D310A">
        <w:tc>
          <w:tcPr>
            <w:tcW w:w="1799" w:type="dxa"/>
            <w:gridSpan w:val="3"/>
            <w:tcBorders>
              <w:right w:val="single" w:sz="4" w:space="0" w:color="auto"/>
            </w:tcBorders>
            <w:shd w:val="clear" w:color="auto" w:fill="auto"/>
          </w:tcPr>
          <w:p w:rsidR="00726226" w:rsidRDefault="0002545D">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89" w:type="dxa"/>
            <w:gridSpan w:val="15"/>
            <w:tcBorders>
              <w:left w:val="single" w:sz="4" w:space="0" w:color="auto"/>
              <w:bottom w:val="single" w:sz="4" w:space="0" w:color="auto"/>
              <w:right w:val="single" w:sz="4" w:space="0" w:color="auto"/>
            </w:tcBorders>
            <w:shd w:val="clear" w:color="auto" w:fill="auto"/>
            <w:tcMar>
              <w:left w:w="51" w:type="dxa"/>
            </w:tcMar>
          </w:tcPr>
          <w:p w:rsidR="00726226" w:rsidRDefault="0002545D">
            <w:pPr>
              <w:rPr>
                <w:rFonts w:cs="Calibri"/>
              </w:rPr>
            </w:pPr>
            <w:bookmarkStart w:id="2" w:name="APredmet"/>
            <w:bookmarkEnd w:id="2"/>
            <w:r>
              <w:rPr>
                <w:lang w:val="en-GB"/>
              </w:rPr>
              <w:t>Electronics in Automation</w:t>
            </w:r>
          </w:p>
        </w:tc>
      </w:tr>
      <w:tr w:rsidR="00726226" w:rsidTr="009D310A">
        <w:tc>
          <w:tcPr>
            <w:tcW w:w="3307" w:type="dxa"/>
            <w:gridSpan w:val="5"/>
            <w:shd w:val="clear" w:color="auto" w:fill="auto"/>
            <w:vAlign w:val="center"/>
          </w:tcPr>
          <w:p w:rsidR="00726226" w:rsidRDefault="00726226">
            <w:pPr>
              <w:jc w:val="center"/>
              <w:rPr>
                <w:rFonts w:cs="Calibri"/>
                <w:b/>
              </w:rPr>
            </w:pPr>
          </w:p>
        </w:tc>
        <w:tc>
          <w:tcPr>
            <w:tcW w:w="3400" w:type="dxa"/>
            <w:gridSpan w:val="8"/>
            <w:shd w:val="clear" w:color="auto" w:fill="auto"/>
            <w:vAlign w:val="center"/>
          </w:tcPr>
          <w:p w:rsidR="00726226" w:rsidRDefault="00726226">
            <w:pPr>
              <w:jc w:val="center"/>
              <w:rPr>
                <w:rFonts w:cs="Calibri"/>
                <w:b/>
              </w:rPr>
            </w:pPr>
          </w:p>
        </w:tc>
        <w:tc>
          <w:tcPr>
            <w:tcW w:w="1558" w:type="dxa"/>
            <w:gridSpan w:val="2"/>
            <w:shd w:val="clear" w:color="auto" w:fill="auto"/>
            <w:vAlign w:val="center"/>
          </w:tcPr>
          <w:p w:rsidR="00726226" w:rsidRDefault="00726226">
            <w:pPr>
              <w:jc w:val="center"/>
              <w:rPr>
                <w:rFonts w:cs="Calibri"/>
                <w:b/>
              </w:rPr>
            </w:pPr>
          </w:p>
        </w:tc>
        <w:tc>
          <w:tcPr>
            <w:tcW w:w="1423" w:type="dxa"/>
            <w:gridSpan w:val="3"/>
            <w:shd w:val="clear" w:color="auto" w:fill="auto"/>
            <w:vAlign w:val="center"/>
          </w:tcPr>
          <w:p w:rsidR="00726226" w:rsidRDefault="00726226">
            <w:pPr>
              <w:jc w:val="center"/>
              <w:rPr>
                <w:rFonts w:cs="Calibri"/>
                <w:b/>
              </w:rPr>
            </w:pPr>
          </w:p>
        </w:tc>
      </w:tr>
      <w:tr w:rsidR="00726226" w:rsidTr="009D310A">
        <w:tc>
          <w:tcPr>
            <w:tcW w:w="3307" w:type="dxa"/>
            <w:gridSpan w:val="5"/>
            <w:tcBorders>
              <w:bottom w:val="single" w:sz="4" w:space="0" w:color="auto"/>
            </w:tcBorders>
            <w:shd w:val="clear" w:color="auto" w:fill="auto"/>
            <w:vAlign w:val="center"/>
          </w:tcPr>
          <w:p w:rsidR="00726226" w:rsidRDefault="0002545D">
            <w:pPr>
              <w:jc w:val="center"/>
              <w:rPr>
                <w:rFonts w:cs="Calibri"/>
                <w:b/>
              </w:rPr>
            </w:pPr>
            <w:r>
              <w:rPr>
                <w:rFonts w:cs="Calibri"/>
                <w:b/>
                <w:szCs w:val="22"/>
              </w:rPr>
              <w:t>Študijski program in stopnja</w:t>
            </w:r>
          </w:p>
          <w:p w:rsidR="00726226" w:rsidRDefault="0002545D">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0" w:type="dxa"/>
            <w:gridSpan w:val="8"/>
            <w:tcBorders>
              <w:bottom w:val="single" w:sz="4" w:space="0" w:color="auto"/>
            </w:tcBorders>
            <w:shd w:val="clear" w:color="auto" w:fill="auto"/>
            <w:vAlign w:val="center"/>
          </w:tcPr>
          <w:p w:rsidR="00726226" w:rsidRDefault="0002545D">
            <w:pPr>
              <w:jc w:val="center"/>
              <w:rPr>
                <w:rFonts w:cs="Calibri"/>
                <w:b/>
              </w:rPr>
            </w:pPr>
            <w:r>
              <w:rPr>
                <w:rFonts w:cs="Calibri"/>
                <w:b/>
                <w:szCs w:val="22"/>
              </w:rPr>
              <w:t>Študijska smer</w:t>
            </w:r>
          </w:p>
          <w:p w:rsidR="00726226" w:rsidRDefault="0002545D">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bottom w:val="single" w:sz="4" w:space="0" w:color="auto"/>
            </w:tcBorders>
            <w:shd w:val="clear" w:color="auto" w:fill="auto"/>
            <w:vAlign w:val="center"/>
          </w:tcPr>
          <w:p w:rsidR="00726226" w:rsidRDefault="0002545D">
            <w:pPr>
              <w:jc w:val="center"/>
              <w:rPr>
                <w:rFonts w:cs="Calibri"/>
                <w:b/>
              </w:rPr>
            </w:pPr>
            <w:r>
              <w:rPr>
                <w:rFonts w:cs="Calibri"/>
                <w:b/>
                <w:szCs w:val="22"/>
              </w:rPr>
              <w:t>Letnik</w:t>
            </w:r>
          </w:p>
          <w:p w:rsidR="00726226" w:rsidRDefault="0002545D">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3" w:type="dxa"/>
            <w:gridSpan w:val="3"/>
            <w:tcBorders>
              <w:bottom w:val="single" w:sz="4" w:space="0" w:color="auto"/>
            </w:tcBorders>
            <w:shd w:val="clear" w:color="auto" w:fill="auto"/>
            <w:vAlign w:val="center"/>
          </w:tcPr>
          <w:p w:rsidR="00726226" w:rsidRDefault="0002545D">
            <w:pPr>
              <w:jc w:val="center"/>
              <w:rPr>
                <w:rFonts w:cs="Calibri"/>
                <w:b/>
              </w:rPr>
            </w:pPr>
            <w:r>
              <w:rPr>
                <w:rFonts w:cs="Calibri"/>
                <w:b/>
                <w:szCs w:val="22"/>
              </w:rPr>
              <w:t>Semester</w:t>
            </w:r>
          </w:p>
          <w:p w:rsidR="00726226" w:rsidRDefault="0002545D">
            <w:pPr>
              <w:jc w:val="center"/>
              <w:rPr>
                <w:rFonts w:cs="Calibri"/>
                <w:b/>
              </w:rPr>
            </w:pPr>
            <w:r>
              <w:rPr>
                <w:rFonts w:cs="Calibri"/>
                <w:b/>
                <w:szCs w:val="22"/>
              </w:rPr>
              <w:t>Semester</w:t>
            </w:r>
          </w:p>
        </w:tc>
      </w:tr>
      <w:tr w:rsidR="00726226" w:rsidTr="009D310A">
        <w:trPr>
          <w:trHeight w:val="318"/>
        </w:trPr>
        <w:tc>
          <w:tcPr>
            <w:tcW w:w="3307" w:type="dxa"/>
            <w:gridSpan w:val="5"/>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Cs/>
              </w:rPr>
            </w:pPr>
            <w:r>
              <w:rPr>
                <w:rFonts w:cs="Calibri"/>
                <w:bCs/>
              </w:rPr>
              <w:t>Univerzitetni študijski program prve stopnje Elektrotehnika</w:t>
            </w:r>
          </w:p>
        </w:tc>
        <w:tc>
          <w:tcPr>
            <w:tcW w:w="3400" w:type="dxa"/>
            <w:gridSpan w:val="8"/>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Avtomatika</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Cs/>
              </w:rPr>
            </w:pPr>
            <w:r>
              <w:rPr>
                <w:rFonts w:cs="Calibri"/>
                <w:bCs/>
              </w:rPr>
              <w:t>3.</w:t>
            </w: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Cs/>
              </w:rPr>
            </w:pPr>
            <w:r>
              <w:rPr>
                <w:rFonts w:cs="Calibri"/>
                <w:bCs/>
              </w:rPr>
              <w:t>letni</w:t>
            </w:r>
          </w:p>
        </w:tc>
      </w:tr>
      <w:tr w:rsidR="00726226" w:rsidTr="009D310A">
        <w:trPr>
          <w:trHeight w:val="318"/>
        </w:trPr>
        <w:tc>
          <w:tcPr>
            <w:tcW w:w="3307" w:type="dxa"/>
            <w:gridSpan w:val="5"/>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0" w:type="dxa"/>
            <w:gridSpan w:val="8"/>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proofErr w:type="spellStart"/>
            <w:r>
              <w:rPr>
                <w:rFonts w:cs="Calibri"/>
                <w:b/>
                <w:bCs/>
              </w:rPr>
              <w:t>Control</w:t>
            </w:r>
            <w:proofErr w:type="spellEnd"/>
            <w:r>
              <w:rPr>
                <w:rFonts w:cs="Calibri"/>
                <w:b/>
                <w:bCs/>
              </w:rPr>
              <w:t xml:space="preserve"> </w:t>
            </w:r>
            <w:proofErr w:type="spellStart"/>
            <w:r>
              <w:rPr>
                <w:rFonts w:cs="Calibri"/>
                <w:b/>
                <w:bCs/>
              </w:rPr>
              <w:t>Systems</w:t>
            </w:r>
            <w:proofErr w:type="spellEnd"/>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3.</w:t>
            </w:r>
          </w:p>
        </w:tc>
        <w:tc>
          <w:tcPr>
            <w:tcW w:w="1423" w:type="dxa"/>
            <w:gridSpan w:val="3"/>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proofErr w:type="spellStart"/>
            <w:r>
              <w:rPr>
                <w:rFonts w:cs="Calibri"/>
                <w:b/>
                <w:bCs/>
              </w:rPr>
              <w:t>summer</w:t>
            </w:r>
            <w:proofErr w:type="spellEnd"/>
          </w:p>
        </w:tc>
      </w:tr>
      <w:tr w:rsidR="00726226" w:rsidTr="009D310A">
        <w:trPr>
          <w:trHeight w:val="103"/>
        </w:trPr>
        <w:tc>
          <w:tcPr>
            <w:tcW w:w="9688" w:type="dxa"/>
            <w:gridSpan w:val="18"/>
            <w:tcBorders>
              <w:top w:val="single" w:sz="4" w:space="0" w:color="auto"/>
            </w:tcBorders>
            <w:shd w:val="clear" w:color="auto" w:fill="auto"/>
          </w:tcPr>
          <w:p w:rsidR="00726226" w:rsidRDefault="00726226">
            <w:pPr>
              <w:rPr>
                <w:rFonts w:cs="Calibri"/>
                <w:b/>
                <w:bCs/>
              </w:rPr>
            </w:pPr>
          </w:p>
        </w:tc>
      </w:tr>
      <w:tr w:rsidR="00726226" w:rsidTr="009D310A">
        <w:tc>
          <w:tcPr>
            <w:tcW w:w="5718" w:type="dxa"/>
            <w:gridSpan w:val="12"/>
            <w:tcBorders>
              <w:right w:val="single" w:sz="4" w:space="0" w:color="auto"/>
            </w:tcBorders>
            <w:shd w:val="clear" w:color="auto" w:fill="auto"/>
          </w:tcPr>
          <w:p w:rsidR="00726226" w:rsidRDefault="0002545D">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0" w:type="dxa"/>
            <w:gridSpan w:val="6"/>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rPr>
                <w:rFonts w:cs="Calibri"/>
              </w:rPr>
            </w:pPr>
            <w:r>
              <w:t xml:space="preserve">Obvezni - strokovni/ </w:t>
            </w:r>
            <w:proofErr w:type="spellStart"/>
            <w:r>
              <w:t>compulsory</w:t>
            </w:r>
            <w:proofErr w:type="spellEnd"/>
            <w:r>
              <w:t xml:space="preserve"> </w:t>
            </w:r>
            <w:proofErr w:type="spellStart"/>
            <w:r>
              <w:t>professional</w:t>
            </w:r>
            <w:proofErr w:type="spellEnd"/>
          </w:p>
        </w:tc>
      </w:tr>
      <w:tr w:rsidR="00726226" w:rsidTr="009D310A">
        <w:tc>
          <w:tcPr>
            <w:tcW w:w="5718" w:type="dxa"/>
            <w:gridSpan w:val="12"/>
            <w:shd w:val="clear" w:color="auto" w:fill="auto"/>
          </w:tcPr>
          <w:p w:rsidR="00726226" w:rsidRDefault="00726226">
            <w:pPr>
              <w:rPr>
                <w:rFonts w:cs="Calibri"/>
                <w:b/>
              </w:rPr>
            </w:pPr>
          </w:p>
        </w:tc>
        <w:tc>
          <w:tcPr>
            <w:tcW w:w="3970" w:type="dxa"/>
            <w:gridSpan w:val="6"/>
            <w:tcBorders>
              <w:bottom w:val="single" w:sz="4" w:space="0" w:color="auto"/>
            </w:tcBorders>
            <w:shd w:val="clear" w:color="auto" w:fill="auto"/>
          </w:tcPr>
          <w:p w:rsidR="00726226" w:rsidRDefault="00726226">
            <w:pPr>
              <w:rPr>
                <w:rFonts w:cs="Calibri"/>
              </w:rPr>
            </w:pPr>
          </w:p>
        </w:tc>
      </w:tr>
      <w:tr w:rsidR="00726226" w:rsidTr="009D310A">
        <w:tc>
          <w:tcPr>
            <w:tcW w:w="5718" w:type="dxa"/>
            <w:gridSpan w:val="12"/>
            <w:tcBorders>
              <w:right w:val="single" w:sz="4" w:space="0" w:color="auto"/>
            </w:tcBorders>
            <w:shd w:val="clear" w:color="auto" w:fill="auto"/>
          </w:tcPr>
          <w:p w:rsidR="00726226" w:rsidRDefault="0002545D">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0" w:type="dxa"/>
            <w:gridSpan w:val="6"/>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rPr>
                <w:rFonts w:cs="Calibri"/>
              </w:rPr>
            </w:pPr>
            <w:r>
              <w:rPr>
                <w:rFonts w:cs="Calibri"/>
              </w:rPr>
              <w:t>64131</w:t>
            </w:r>
          </w:p>
        </w:tc>
      </w:tr>
      <w:tr w:rsidR="00726226" w:rsidTr="009D310A">
        <w:tc>
          <w:tcPr>
            <w:tcW w:w="9688" w:type="dxa"/>
            <w:gridSpan w:val="18"/>
            <w:shd w:val="clear" w:color="auto" w:fill="auto"/>
          </w:tcPr>
          <w:p w:rsidR="00726226" w:rsidRDefault="00726226">
            <w:pPr>
              <w:rPr>
                <w:rFonts w:cs="Calibri"/>
              </w:rPr>
            </w:pPr>
          </w:p>
        </w:tc>
      </w:tr>
      <w:tr w:rsidR="00726226" w:rsidTr="009D310A">
        <w:tc>
          <w:tcPr>
            <w:tcW w:w="1409" w:type="dxa"/>
            <w:tcBorders>
              <w:bottom w:val="single" w:sz="4" w:space="0" w:color="auto"/>
            </w:tcBorders>
            <w:shd w:val="clear" w:color="auto" w:fill="auto"/>
            <w:vAlign w:val="center"/>
          </w:tcPr>
          <w:p w:rsidR="00726226" w:rsidRDefault="0002545D">
            <w:pPr>
              <w:jc w:val="center"/>
              <w:rPr>
                <w:rFonts w:cs="Calibri"/>
                <w:b/>
              </w:rPr>
            </w:pPr>
            <w:r>
              <w:rPr>
                <w:rFonts w:cs="Calibri"/>
                <w:b/>
                <w:szCs w:val="22"/>
              </w:rPr>
              <w:t>Predavanja</w:t>
            </w:r>
          </w:p>
          <w:p w:rsidR="00726226" w:rsidRDefault="0002545D">
            <w:pPr>
              <w:jc w:val="center"/>
              <w:rPr>
                <w:rFonts w:cs="Calibri"/>
              </w:rPr>
            </w:pPr>
            <w:proofErr w:type="spellStart"/>
            <w:r>
              <w:rPr>
                <w:rFonts w:cs="Calibri"/>
                <w:b/>
                <w:szCs w:val="22"/>
              </w:rPr>
              <w:t>Lectures</w:t>
            </w:r>
            <w:proofErr w:type="spellEnd"/>
          </w:p>
        </w:tc>
        <w:tc>
          <w:tcPr>
            <w:tcW w:w="1410" w:type="dxa"/>
            <w:gridSpan w:val="3"/>
            <w:tcBorders>
              <w:bottom w:val="single" w:sz="4" w:space="0" w:color="auto"/>
            </w:tcBorders>
            <w:shd w:val="clear" w:color="auto" w:fill="auto"/>
            <w:vAlign w:val="center"/>
          </w:tcPr>
          <w:p w:rsidR="00726226" w:rsidRDefault="0002545D">
            <w:pPr>
              <w:jc w:val="center"/>
              <w:rPr>
                <w:rFonts w:cs="Calibri"/>
                <w:b/>
              </w:rPr>
            </w:pPr>
            <w:r>
              <w:rPr>
                <w:rFonts w:cs="Calibri"/>
                <w:b/>
                <w:szCs w:val="22"/>
              </w:rPr>
              <w:t>Seminar</w:t>
            </w:r>
          </w:p>
          <w:p w:rsidR="00726226" w:rsidRDefault="0002545D">
            <w:pPr>
              <w:jc w:val="center"/>
              <w:rPr>
                <w:rFonts w:cs="Calibri"/>
                <w:b/>
              </w:rPr>
            </w:pPr>
            <w:r>
              <w:rPr>
                <w:rFonts w:cs="Calibri"/>
                <w:b/>
                <w:szCs w:val="22"/>
              </w:rPr>
              <w:t>Seminar</w:t>
            </w:r>
          </w:p>
        </w:tc>
        <w:tc>
          <w:tcPr>
            <w:tcW w:w="1418" w:type="dxa"/>
            <w:gridSpan w:val="3"/>
            <w:tcBorders>
              <w:bottom w:val="single" w:sz="4" w:space="0" w:color="auto"/>
            </w:tcBorders>
            <w:shd w:val="clear" w:color="auto" w:fill="auto"/>
            <w:vAlign w:val="center"/>
          </w:tcPr>
          <w:p w:rsidR="00726226" w:rsidRDefault="0002545D">
            <w:pPr>
              <w:jc w:val="center"/>
              <w:rPr>
                <w:rFonts w:cs="Calibri"/>
                <w:b/>
              </w:rPr>
            </w:pPr>
            <w:r>
              <w:rPr>
                <w:rFonts w:cs="Calibri"/>
                <w:b/>
                <w:szCs w:val="22"/>
              </w:rPr>
              <w:t>Vaje</w:t>
            </w:r>
          </w:p>
          <w:p w:rsidR="00726226" w:rsidRDefault="0002545D">
            <w:pPr>
              <w:jc w:val="center"/>
              <w:rPr>
                <w:rFonts w:cs="Calibri"/>
                <w:b/>
              </w:rPr>
            </w:pPr>
            <w:proofErr w:type="spellStart"/>
            <w:r>
              <w:rPr>
                <w:rFonts w:cs="Calibri"/>
                <w:b/>
                <w:szCs w:val="22"/>
              </w:rPr>
              <w:t>Tutorial</w:t>
            </w:r>
            <w:proofErr w:type="spellEnd"/>
          </w:p>
        </w:tc>
        <w:tc>
          <w:tcPr>
            <w:tcW w:w="1418" w:type="dxa"/>
            <w:gridSpan w:val="4"/>
            <w:tcBorders>
              <w:bottom w:val="single" w:sz="4" w:space="0" w:color="auto"/>
            </w:tcBorders>
            <w:shd w:val="clear" w:color="auto" w:fill="auto"/>
            <w:vAlign w:val="center"/>
          </w:tcPr>
          <w:p w:rsidR="00726226" w:rsidRDefault="0002545D">
            <w:pPr>
              <w:jc w:val="center"/>
              <w:rPr>
                <w:rFonts w:cs="Calibri"/>
                <w:b/>
              </w:rPr>
            </w:pPr>
            <w:r>
              <w:rPr>
                <w:rFonts w:cs="Calibri"/>
                <w:b/>
                <w:szCs w:val="22"/>
              </w:rPr>
              <w:t>Klinične vaje</w:t>
            </w:r>
          </w:p>
          <w:p w:rsidR="00726226" w:rsidRDefault="0002545D">
            <w:pPr>
              <w:jc w:val="center"/>
              <w:rPr>
                <w:rFonts w:cs="Calibri"/>
                <w:b/>
              </w:rPr>
            </w:pPr>
            <w:proofErr w:type="spellStart"/>
            <w:r>
              <w:rPr>
                <w:rFonts w:cs="Calibri"/>
                <w:b/>
                <w:szCs w:val="22"/>
              </w:rPr>
              <w:t>work</w:t>
            </w:r>
            <w:proofErr w:type="spellEnd"/>
          </w:p>
        </w:tc>
        <w:tc>
          <w:tcPr>
            <w:tcW w:w="1416" w:type="dxa"/>
            <w:gridSpan w:val="3"/>
            <w:tcBorders>
              <w:bottom w:val="single" w:sz="4" w:space="0" w:color="auto"/>
            </w:tcBorders>
            <w:shd w:val="clear" w:color="auto" w:fill="auto"/>
            <w:vAlign w:val="center"/>
          </w:tcPr>
          <w:p w:rsidR="00726226" w:rsidRDefault="0002545D">
            <w:pPr>
              <w:jc w:val="center"/>
              <w:rPr>
                <w:rFonts w:cs="Calibri"/>
                <w:b/>
              </w:rPr>
            </w:pPr>
            <w:r>
              <w:rPr>
                <w:rFonts w:cs="Calibri"/>
                <w:b/>
                <w:szCs w:val="22"/>
              </w:rPr>
              <w:t>Druge oblike študija</w:t>
            </w:r>
          </w:p>
        </w:tc>
        <w:tc>
          <w:tcPr>
            <w:tcW w:w="1417" w:type="dxa"/>
            <w:gridSpan w:val="2"/>
            <w:tcBorders>
              <w:bottom w:val="single" w:sz="4" w:space="0" w:color="auto"/>
            </w:tcBorders>
            <w:shd w:val="clear" w:color="auto" w:fill="auto"/>
            <w:vAlign w:val="center"/>
          </w:tcPr>
          <w:p w:rsidR="00726226" w:rsidRDefault="0002545D">
            <w:pPr>
              <w:jc w:val="center"/>
              <w:rPr>
                <w:rFonts w:cs="Calibri"/>
                <w:b/>
              </w:rPr>
            </w:pPr>
            <w:r>
              <w:rPr>
                <w:rFonts w:cs="Calibri"/>
                <w:b/>
                <w:szCs w:val="22"/>
              </w:rPr>
              <w:t>Samost. delo</w:t>
            </w:r>
          </w:p>
          <w:p w:rsidR="00726226" w:rsidRDefault="0002545D">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tcBorders>
              <w:bottom w:val="single" w:sz="4" w:space="0" w:color="auto"/>
            </w:tcBorders>
            <w:shd w:val="clear" w:color="auto" w:fill="auto"/>
            <w:vAlign w:val="center"/>
          </w:tcPr>
          <w:p w:rsidR="00726226" w:rsidRDefault="00726226">
            <w:pPr>
              <w:jc w:val="center"/>
              <w:rPr>
                <w:rFonts w:cs="Calibri"/>
                <w:b/>
                <w:bCs/>
              </w:rPr>
            </w:pPr>
          </w:p>
        </w:tc>
        <w:tc>
          <w:tcPr>
            <w:tcW w:w="1068" w:type="dxa"/>
            <w:tcBorders>
              <w:bottom w:val="single" w:sz="4" w:space="0" w:color="auto"/>
            </w:tcBorders>
            <w:shd w:val="clear" w:color="auto" w:fill="auto"/>
            <w:vAlign w:val="center"/>
          </w:tcPr>
          <w:p w:rsidR="00726226" w:rsidRDefault="0002545D">
            <w:pPr>
              <w:jc w:val="center"/>
              <w:rPr>
                <w:rFonts w:cs="Calibri"/>
                <w:b/>
              </w:rPr>
            </w:pPr>
            <w:r>
              <w:rPr>
                <w:rFonts w:cs="Calibri"/>
                <w:b/>
                <w:szCs w:val="22"/>
              </w:rPr>
              <w:t>ECTS</w:t>
            </w:r>
          </w:p>
        </w:tc>
      </w:tr>
      <w:tr w:rsidR="00726226" w:rsidTr="009D310A">
        <w:trPr>
          <w:trHeight w:val="318"/>
        </w:trPr>
        <w:tc>
          <w:tcPr>
            <w:tcW w:w="1409" w:type="dxa"/>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72622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726226">
            <w:pPr>
              <w:jc w:val="center"/>
              <w:rPr>
                <w:rFonts w:cs="Calibri"/>
                <w:b/>
                <w:bCs/>
              </w:rPr>
            </w:pP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72622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85</w:t>
            </w:r>
          </w:p>
        </w:tc>
        <w:tc>
          <w:tcPr>
            <w:tcW w:w="132" w:type="dxa"/>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72622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shd w:val="clear" w:color="auto" w:fill="auto"/>
            <w:tcMar>
              <w:left w:w="51" w:type="dxa"/>
            </w:tcMar>
            <w:vAlign w:val="center"/>
          </w:tcPr>
          <w:p w:rsidR="00726226" w:rsidRDefault="0002545D">
            <w:pPr>
              <w:jc w:val="center"/>
              <w:rPr>
                <w:rFonts w:cs="Calibri"/>
                <w:b/>
                <w:bCs/>
              </w:rPr>
            </w:pPr>
            <w:r>
              <w:rPr>
                <w:rFonts w:cs="Calibri"/>
                <w:b/>
                <w:bCs/>
              </w:rPr>
              <w:t>7</w:t>
            </w:r>
          </w:p>
        </w:tc>
      </w:tr>
      <w:tr w:rsidR="00726226" w:rsidTr="009D310A">
        <w:tc>
          <w:tcPr>
            <w:tcW w:w="9688" w:type="dxa"/>
            <w:gridSpan w:val="18"/>
            <w:tcBorders>
              <w:top w:val="single" w:sz="4" w:space="0" w:color="auto"/>
            </w:tcBorders>
            <w:shd w:val="clear" w:color="auto" w:fill="auto"/>
          </w:tcPr>
          <w:p w:rsidR="00726226" w:rsidRDefault="00726226">
            <w:pPr>
              <w:rPr>
                <w:rFonts w:cs="Calibri"/>
                <w:b/>
                <w:bCs/>
              </w:rPr>
            </w:pPr>
          </w:p>
        </w:tc>
      </w:tr>
      <w:tr w:rsidR="00726226" w:rsidTr="009D310A">
        <w:tc>
          <w:tcPr>
            <w:tcW w:w="3307" w:type="dxa"/>
            <w:gridSpan w:val="5"/>
            <w:tcBorders>
              <w:right w:val="single" w:sz="4" w:space="0" w:color="auto"/>
            </w:tcBorders>
            <w:shd w:val="clear" w:color="auto" w:fill="auto"/>
          </w:tcPr>
          <w:p w:rsidR="00726226" w:rsidRDefault="0002545D">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1" w:type="dxa"/>
            <w:gridSpan w:val="13"/>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rPr>
                <w:rFonts w:cs="Calibri"/>
              </w:rPr>
            </w:pPr>
            <w:bookmarkStart w:id="3" w:name="Predavatelj"/>
            <w:bookmarkEnd w:id="3"/>
            <w:r>
              <w:rPr>
                <w:rFonts w:cs="Calibri"/>
              </w:rPr>
              <w:t>Boštjan Murovec</w:t>
            </w:r>
          </w:p>
        </w:tc>
      </w:tr>
      <w:tr w:rsidR="00726226" w:rsidTr="009D310A">
        <w:tc>
          <w:tcPr>
            <w:tcW w:w="9688" w:type="dxa"/>
            <w:gridSpan w:val="18"/>
            <w:shd w:val="clear" w:color="auto" w:fill="auto"/>
          </w:tcPr>
          <w:p w:rsidR="00726226" w:rsidRDefault="00726226">
            <w:pPr>
              <w:jc w:val="both"/>
              <w:rPr>
                <w:rFonts w:cs="Calibri"/>
              </w:rPr>
            </w:pPr>
          </w:p>
        </w:tc>
      </w:tr>
      <w:tr w:rsidR="00726226" w:rsidTr="009D310A">
        <w:tc>
          <w:tcPr>
            <w:tcW w:w="1640" w:type="dxa"/>
            <w:gridSpan w:val="2"/>
            <w:vMerge w:val="restart"/>
            <w:shd w:val="clear" w:color="auto" w:fill="auto"/>
          </w:tcPr>
          <w:p w:rsidR="00726226" w:rsidRDefault="0002545D">
            <w:pPr>
              <w:rPr>
                <w:rFonts w:cs="Calibri"/>
                <w:b/>
              </w:rPr>
            </w:pPr>
            <w:r>
              <w:rPr>
                <w:rFonts w:cs="Calibri"/>
                <w:b/>
                <w:szCs w:val="22"/>
              </w:rPr>
              <w:t xml:space="preserve">Jeziki / </w:t>
            </w:r>
          </w:p>
          <w:p w:rsidR="00726226" w:rsidRDefault="0002545D">
            <w:pPr>
              <w:rPr>
                <w:rFonts w:cs="Calibri"/>
              </w:rPr>
            </w:pPr>
            <w:proofErr w:type="spellStart"/>
            <w:r>
              <w:rPr>
                <w:rFonts w:cs="Calibri"/>
                <w:b/>
                <w:szCs w:val="22"/>
              </w:rPr>
              <w:t>Languages</w:t>
            </w:r>
            <w:proofErr w:type="spellEnd"/>
            <w:r>
              <w:rPr>
                <w:rFonts w:cs="Calibri"/>
                <w:b/>
                <w:szCs w:val="22"/>
              </w:rPr>
              <w:t>:</w:t>
            </w:r>
          </w:p>
        </w:tc>
        <w:tc>
          <w:tcPr>
            <w:tcW w:w="2241" w:type="dxa"/>
            <w:gridSpan w:val="4"/>
            <w:tcBorders>
              <w:right w:val="single" w:sz="4" w:space="0" w:color="auto"/>
            </w:tcBorders>
            <w:shd w:val="clear" w:color="auto" w:fill="auto"/>
          </w:tcPr>
          <w:p w:rsidR="00726226" w:rsidRDefault="0002545D">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7" w:type="dxa"/>
            <w:gridSpan w:val="12"/>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jc w:val="both"/>
              <w:rPr>
                <w:rFonts w:cs="Calibri"/>
                <w:bCs/>
              </w:rPr>
            </w:pPr>
            <w:bookmarkStart w:id="4" w:name="Jezik"/>
            <w:bookmarkEnd w:id="4"/>
            <w:r>
              <w:rPr>
                <w:rFonts w:cs="Calibri"/>
              </w:rPr>
              <w:t>slovenski</w:t>
            </w:r>
          </w:p>
        </w:tc>
      </w:tr>
      <w:tr w:rsidR="00726226" w:rsidTr="009D310A">
        <w:trPr>
          <w:trHeight w:val="215"/>
        </w:trPr>
        <w:tc>
          <w:tcPr>
            <w:tcW w:w="1640" w:type="dxa"/>
            <w:gridSpan w:val="2"/>
            <w:vMerge/>
            <w:shd w:val="clear" w:color="auto" w:fill="auto"/>
            <w:vAlign w:val="center"/>
          </w:tcPr>
          <w:p w:rsidR="00726226" w:rsidRDefault="00726226">
            <w:pPr>
              <w:rPr>
                <w:rFonts w:cs="Calibri"/>
              </w:rPr>
            </w:pPr>
          </w:p>
        </w:tc>
        <w:tc>
          <w:tcPr>
            <w:tcW w:w="2241" w:type="dxa"/>
            <w:gridSpan w:val="4"/>
            <w:tcBorders>
              <w:right w:val="single" w:sz="4" w:space="0" w:color="auto"/>
            </w:tcBorders>
            <w:shd w:val="clear" w:color="auto" w:fill="auto"/>
          </w:tcPr>
          <w:p w:rsidR="00726226" w:rsidRDefault="0002545D">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7" w:type="dxa"/>
            <w:gridSpan w:val="12"/>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jc w:val="both"/>
              <w:rPr>
                <w:rFonts w:cs="Calibri"/>
                <w:bCs/>
              </w:rPr>
            </w:pPr>
            <w:bookmarkStart w:id="5" w:name="JezikV"/>
            <w:bookmarkEnd w:id="5"/>
            <w:r>
              <w:rPr>
                <w:rFonts w:cs="Calibri"/>
              </w:rPr>
              <w:t>slovenski</w:t>
            </w:r>
          </w:p>
        </w:tc>
      </w:tr>
      <w:tr w:rsidR="00726226" w:rsidTr="009D310A">
        <w:tc>
          <w:tcPr>
            <w:tcW w:w="4728" w:type="dxa"/>
            <w:gridSpan w:val="9"/>
            <w:tcBorders>
              <w:bottom w:val="single" w:sz="4" w:space="0" w:color="auto"/>
            </w:tcBorders>
            <w:shd w:val="clear" w:color="auto" w:fill="auto"/>
          </w:tcPr>
          <w:p w:rsidR="00726226" w:rsidRDefault="00726226">
            <w:pPr>
              <w:rPr>
                <w:rFonts w:cs="Calibri"/>
                <w:b/>
                <w:bCs/>
              </w:rPr>
            </w:pPr>
          </w:p>
          <w:p w:rsidR="00726226" w:rsidRDefault="0002545D">
            <w:pPr>
              <w:rPr>
                <w:rFonts w:cs="Calibri"/>
                <w:b/>
              </w:rPr>
            </w:pPr>
            <w:r>
              <w:rPr>
                <w:rFonts w:cs="Calibri"/>
                <w:b/>
                <w:szCs w:val="22"/>
              </w:rPr>
              <w:t>Pogoji za vključitev v delo oz. za opravljanje študijskih obveznosti:</w:t>
            </w:r>
          </w:p>
        </w:tc>
        <w:tc>
          <w:tcPr>
            <w:tcW w:w="142" w:type="dxa"/>
            <w:shd w:val="clear" w:color="auto" w:fill="auto"/>
          </w:tcPr>
          <w:p w:rsidR="00726226" w:rsidRDefault="00726226">
            <w:pPr>
              <w:rPr>
                <w:rFonts w:cs="Calibri"/>
                <w:b/>
              </w:rPr>
            </w:pPr>
          </w:p>
          <w:p w:rsidR="00726226" w:rsidRDefault="00726226">
            <w:pPr>
              <w:rPr>
                <w:rFonts w:cs="Calibri"/>
                <w:b/>
              </w:rPr>
            </w:pPr>
          </w:p>
        </w:tc>
        <w:tc>
          <w:tcPr>
            <w:tcW w:w="4818" w:type="dxa"/>
            <w:gridSpan w:val="8"/>
            <w:tcBorders>
              <w:bottom w:val="single" w:sz="4" w:space="0" w:color="auto"/>
            </w:tcBorders>
            <w:shd w:val="clear" w:color="auto" w:fill="auto"/>
          </w:tcPr>
          <w:p w:rsidR="00726226" w:rsidRDefault="00726226">
            <w:pPr>
              <w:rPr>
                <w:rFonts w:cs="Calibri"/>
                <w:b/>
              </w:rPr>
            </w:pPr>
          </w:p>
          <w:p w:rsidR="00726226" w:rsidRDefault="0002545D">
            <w:pPr>
              <w:rPr>
                <w:rFonts w:cs="Calibri"/>
                <w:b/>
              </w:rPr>
            </w:pPr>
            <w:proofErr w:type="spellStart"/>
            <w:r>
              <w:rPr>
                <w:rFonts w:cs="Calibri"/>
                <w:b/>
                <w:szCs w:val="22"/>
              </w:rPr>
              <w:t>Prerequisits</w:t>
            </w:r>
            <w:proofErr w:type="spellEnd"/>
            <w:r>
              <w:rPr>
                <w:rFonts w:cs="Calibri"/>
                <w:b/>
                <w:szCs w:val="22"/>
              </w:rPr>
              <w:t>:</w:t>
            </w:r>
          </w:p>
        </w:tc>
      </w:tr>
      <w:tr w:rsidR="00726226" w:rsidTr="009D310A">
        <w:trPr>
          <w:trHeight w:val="240"/>
        </w:trPr>
        <w:tc>
          <w:tcPr>
            <w:tcW w:w="4728" w:type="dxa"/>
            <w:gridSpan w:val="9"/>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5A542B" w:rsidP="005A542B">
            <w:pPr>
              <w:rPr>
                <w:rFonts w:cs="Calibri"/>
              </w:rPr>
            </w:pPr>
            <w:r>
              <w:t>Vpis v letnik</w:t>
            </w:r>
            <w:r>
              <w:t xml:space="preserve">. </w:t>
            </w:r>
          </w:p>
        </w:tc>
        <w:tc>
          <w:tcPr>
            <w:tcW w:w="142" w:type="dxa"/>
            <w:tcBorders>
              <w:left w:val="single" w:sz="4" w:space="0" w:color="auto"/>
              <w:right w:val="single" w:sz="4" w:space="0" w:color="auto"/>
            </w:tcBorders>
            <w:shd w:val="clear" w:color="auto" w:fill="auto"/>
            <w:tcMar>
              <w:left w:w="51" w:type="dxa"/>
            </w:tcMar>
          </w:tcPr>
          <w:p w:rsidR="00726226" w:rsidRDefault="00726226">
            <w:pPr>
              <w:rPr>
                <w:rFonts w:cs="Calibri"/>
              </w:rPr>
            </w:pPr>
          </w:p>
        </w:tc>
        <w:tc>
          <w:tcPr>
            <w:tcW w:w="4818" w:type="dxa"/>
            <w:gridSpan w:val="8"/>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Pr="00962845" w:rsidRDefault="00962845">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726226" w:rsidTr="009D310A">
        <w:trPr>
          <w:trHeight w:val="137"/>
        </w:trPr>
        <w:tc>
          <w:tcPr>
            <w:tcW w:w="4718" w:type="dxa"/>
            <w:gridSpan w:val="8"/>
            <w:tcBorders>
              <w:bottom w:val="single" w:sz="4" w:space="0" w:color="auto"/>
            </w:tcBorders>
            <w:shd w:val="clear" w:color="auto" w:fill="auto"/>
          </w:tcPr>
          <w:p w:rsidR="00726226" w:rsidRDefault="00726226">
            <w:pPr>
              <w:rPr>
                <w:rFonts w:cs="Calibri"/>
                <w:b/>
              </w:rPr>
            </w:pPr>
          </w:p>
          <w:p w:rsidR="00726226" w:rsidRDefault="0002545D">
            <w:pPr>
              <w:rPr>
                <w:rFonts w:cs="Calibri"/>
                <w:b/>
              </w:rPr>
            </w:pPr>
            <w:r>
              <w:rPr>
                <w:rFonts w:cs="Calibri"/>
                <w:b/>
                <w:szCs w:val="22"/>
              </w:rPr>
              <w:t>Vsebina:</w:t>
            </w:r>
            <w:r>
              <w:rPr>
                <w:rFonts w:cs="Calibri"/>
                <w:szCs w:val="22"/>
              </w:rPr>
              <w:t xml:space="preserve"> </w:t>
            </w:r>
          </w:p>
        </w:tc>
        <w:tc>
          <w:tcPr>
            <w:tcW w:w="152" w:type="dxa"/>
            <w:gridSpan w:val="2"/>
            <w:shd w:val="clear" w:color="auto" w:fill="auto"/>
          </w:tcPr>
          <w:p w:rsidR="00726226" w:rsidRDefault="00726226">
            <w:pPr>
              <w:rPr>
                <w:rFonts w:cs="Calibri"/>
                <w:b/>
              </w:rPr>
            </w:pPr>
          </w:p>
        </w:tc>
        <w:tc>
          <w:tcPr>
            <w:tcW w:w="4818" w:type="dxa"/>
            <w:gridSpan w:val="8"/>
            <w:tcBorders>
              <w:top w:val="single" w:sz="4" w:space="0" w:color="auto"/>
              <w:bottom w:val="single" w:sz="4" w:space="0" w:color="auto"/>
            </w:tcBorders>
            <w:shd w:val="clear" w:color="auto" w:fill="auto"/>
          </w:tcPr>
          <w:p w:rsidR="00726226" w:rsidRDefault="00726226">
            <w:pPr>
              <w:rPr>
                <w:rFonts w:cs="Calibri"/>
                <w:b/>
                <w:lang w:val="en-GB"/>
              </w:rPr>
            </w:pPr>
          </w:p>
          <w:p w:rsidR="00726226" w:rsidRDefault="0002545D">
            <w:pPr>
              <w:rPr>
                <w:rFonts w:cs="Calibri"/>
                <w:b/>
                <w:lang w:val="en-GB"/>
              </w:rPr>
            </w:pPr>
            <w:r>
              <w:rPr>
                <w:rFonts w:cs="Calibri"/>
                <w:b/>
                <w:szCs w:val="22"/>
                <w:lang w:val="en-GB"/>
              </w:rPr>
              <w:t>Content (Syllabus outline):</w:t>
            </w:r>
          </w:p>
        </w:tc>
      </w:tr>
      <w:tr w:rsidR="00726226" w:rsidTr="009D310A">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spacing w:after="200" w:line="276" w:lineRule="auto"/>
            </w:pPr>
            <w:r>
              <w:t>Analogna elektronika senzorskih in vgrajenih sistemov.</w:t>
            </w:r>
          </w:p>
          <w:p w:rsidR="00726226" w:rsidRDefault="0002545D">
            <w:pPr>
              <w:spacing w:after="200" w:line="276" w:lineRule="auto"/>
            </w:pPr>
            <w:r>
              <w:t xml:space="preserve">Operacijski ojačevalniki in z njimi izvedena vezja analognega prevajanja in procesiranja signalov: napetostni primerjalnik, napetostni sledilnik, </w:t>
            </w:r>
            <w:proofErr w:type="spellStart"/>
            <w:r>
              <w:t>neinvertirajoči</w:t>
            </w:r>
            <w:proofErr w:type="spellEnd"/>
            <w:r>
              <w:t xml:space="preserve"> in </w:t>
            </w:r>
            <w:proofErr w:type="spellStart"/>
            <w:r>
              <w:t>invertirajoči</w:t>
            </w:r>
            <w:proofErr w:type="spellEnd"/>
            <w:r>
              <w:t xml:space="preserve"> napetostni ojačevalnik, seštevalnik, odštevalnik, </w:t>
            </w:r>
            <w:proofErr w:type="spellStart"/>
            <w:r>
              <w:t>instrumentacijski</w:t>
            </w:r>
            <w:proofErr w:type="spellEnd"/>
            <w:r>
              <w:t xml:space="preserve"> ojačevalnik, vezja za prilagajanje napetostnih območij, tokovno-napetostni pretvornik, dajalnik temenske napetosti, Schmittov prožilnik, </w:t>
            </w:r>
            <w:r>
              <w:lastRenderedPageBreak/>
              <w:t>izvedba napetostnih referenc. D/A in A/D pretvorniki: tipi in uporaba v vezjih. Upori, kondenzatorji, vgrajeni in parazitni RC in CR členi ter diode.</w:t>
            </w:r>
          </w:p>
          <w:p w:rsidR="00726226" w:rsidRDefault="0002545D">
            <w:pPr>
              <w:spacing w:after="200" w:line="276" w:lineRule="auto"/>
            </w:pPr>
            <w:r>
              <w:t xml:space="preserve">Vsa vezja so ilustrirana s primeri uporabe. Obravnava je izrazito </w:t>
            </w:r>
            <w:proofErr w:type="spellStart"/>
            <w:r>
              <w:t>neidealizirana</w:t>
            </w:r>
            <w:proofErr w:type="spellEnd"/>
            <w:r>
              <w:t xml:space="preserve">, poudarjene so realne karakteristike in njihov parazitni vpliv na delovanje vezij. Neidealnosti so analizirane in ilustrirane s konkretnimi podatki proizvajalcev. </w:t>
            </w:r>
            <w:proofErr w:type="spellStart"/>
            <w:r>
              <w:t>Demonstrirane</w:t>
            </w:r>
            <w:proofErr w:type="spellEnd"/>
            <w:r>
              <w:t xml:space="preserve"> so razlike med izbranimi modeli operacijskih ojačevalnikov. Podan je zajem signalov napetostnih, tokovnih in uporovnih senzorjev na praktičnih primerih.</w:t>
            </w:r>
          </w:p>
          <w:p w:rsidR="00726226" w:rsidRDefault="0002545D">
            <w:pPr>
              <w:spacing w:after="200" w:line="276" w:lineRule="auto"/>
            </w:pPr>
            <w:r>
              <w:t xml:space="preserve">Celostno so obravnavane neidealnosti, ki največkrat otežujejo izvedbo preciznih senzorskih sistemov: napetostni premik, vhodni mirovni tok, tokovni premik, vhodna in izhodna notranja upornost, vpliv končnega ojačenja, frekvenčna meja, </w:t>
            </w:r>
            <w:proofErr w:type="spellStart"/>
            <w:r>
              <w:t>rejekcijski</w:t>
            </w:r>
            <w:proofErr w:type="spellEnd"/>
            <w:r>
              <w:t xml:space="preserve"> faktor, nestabilnost napajalne napetosti, omejena hitrost spreminjanja izhodne napetosti, vpliv kapacitivnosti bremena, lezenje, šum, temperaturne odvisnosti. Podani so principi kompenzacije napetostnega premika in vhodnih tokov ter večanje </w:t>
            </w:r>
            <w:proofErr w:type="spellStart"/>
            <w:r>
              <w:t>rejekcijskega</w:t>
            </w:r>
            <w:proofErr w:type="spellEnd"/>
            <w:r>
              <w:t xml:space="preserve"> faktorja. Obravnavana je uporaba dveh operacijskih ojačevalnikov v zanki in popravljanje frekvenčnih karakteristik. Pri neidealnostih AD in DA pretvornikov je poudarek na premiku ničle, premiku polnega območja, napaki ojačenja ter integralni in diferencialni nelinearnosti. Meritve spektrov signalov in opazovanje popačenj.</w:t>
            </w:r>
          </w:p>
          <w:p w:rsidR="00726226" w:rsidRDefault="0002545D">
            <w:pPr>
              <w:spacing w:after="200" w:line="276" w:lineRule="auto"/>
            </w:pPr>
            <w:r>
              <w:t xml:space="preserve">Analogne lastnosti digitalnih sklopov s poudarkom uporabe pri vgrajenih sistemih. Izhodna notranja upornost, vhodna notranja impedanca, poraba energije v povezavi s frekvenco preklopov, vpliv kapacitivnih </w:t>
            </w:r>
            <w:r>
              <w:lastRenderedPageBreak/>
              <w:t xml:space="preserve">bremen, tipi digitalnih izhodov (totem pole, open </w:t>
            </w:r>
            <w:proofErr w:type="spellStart"/>
            <w:r>
              <w:t>drain</w:t>
            </w:r>
            <w:proofErr w:type="spellEnd"/>
            <w:r>
              <w:t>). Izvedbe oscilatorjev za mikroprocesorske sisteme. Analogna stikala in multiplekserji z uporabo in neidealnostmi.</w:t>
            </w:r>
          </w:p>
          <w:p w:rsidR="00726226" w:rsidRDefault="0002545D">
            <w:pPr>
              <w:spacing w:after="200" w:line="276" w:lineRule="auto"/>
            </w:pPr>
            <w:r>
              <w:t xml:space="preserve">Praktični vidiki realizacije vezij: problem neidealne mase in napajalnih linij, uporaba </w:t>
            </w:r>
            <w:proofErr w:type="spellStart"/>
            <w:r>
              <w:t>blokirnih</w:t>
            </w:r>
            <w:proofErr w:type="spellEnd"/>
            <w:r>
              <w:t xml:space="preserve"> kondenzatorjev, koncept in uporaba sponk FORCE, SENSE in REF, DC in AC sklopitev signalov, osnove linijskih pojavov.</w:t>
            </w:r>
          </w:p>
          <w:p w:rsidR="00726226" w:rsidRPr="0002545D" w:rsidRDefault="00726226" w:rsidP="0002545D"/>
        </w:tc>
        <w:tc>
          <w:tcPr>
            <w:tcW w:w="152" w:type="dxa"/>
            <w:gridSpan w:val="2"/>
            <w:tcBorders>
              <w:left w:val="single" w:sz="4" w:space="0" w:color="auto"/>
              <w:right w:val="single" w:sz="4" w:space="0" w:color="auto"/>
            </w:tcBorders>
            <w:shd w:val="clear" w:color="auto" w:fill="auto"/>
            <w:tcMar>
              <w:left w:w="51" w:type="dxa"/>
            </w:tcMar>
          </w:tcPr>
          <w:p w:rsidR="00726226" w:rsidRDefault="00726226">
            <w:pPr>
              <w:rPr>
                <w:rFonts w:cs="Calibri"/>
              </w:rPr>
            </w:pPr>
          </w:p>
        </w:tc>
        <w:tc>
          <w:tcPr>
            <w:tcW w:w="4818" w:type="dxa"/>
            <w:gridSpan w:val="8"/>
            <w:tcBorders>
              <w:top w:val="single" w:sz="4" w:space="0" w:color="auto"/>
              <w:left w:val="single" w:sz="4" w:space="0" w:color="auto"/>
              <w:bottom w:val="single" w:sz="4" w:space="0" w:color="auto"/>
              <w:right w:val="single" w:sz="4" w:space="0" w:color="auto"/>
            </w:tcBorders>
            <w:shd w:val="clear" w:color="auto" w:fill="auto"/>
            <w:tcMar>
              <w:left w:w="51" w:type="dxa"/>
            </w:tcMar>
          </w:tcPr>
          <w:p w:rsidR="00726226" w:rsidRDefault="0002545D">
            <w:pPr>
              <w:rPr>
                <w:rFonts w:cs="Calibri"/>
                <w:lang w:val="en-GB"/>
              </w:rPr>
            </w:pPr>
            <w:r>
              <w:rPr>
                <w:rFonts w:cs="Calibri"/>
                <w:lang w:val="en-GB"/>
              </w:rPr>
              <w:t>Analog electronics for sensors and embedded systems.</w:t>
            </w:r>
          </w:p>
          <w:p w:rsidR="00726226" w:rsidRDefault="00726226">
            <w:pPr>
              <w:rPr>
                <w:rFonts w:cs="Calibri"/>
                <w:lang w:val="en-GB"/>
              </w:rPr>
            </w:pPr>
          </w:p>
          <w:p w:rsidR="00726226" w:rsidRDefault="0002545D">
            <w:pPr>
              <w:rPr>
                <w:rFonts w:cs="Calibri"/>
                <w:lang w:val="en-GB"/>
              </w:rPr>
            </w:pPr>
            <w:r>
              <w:rPr>
                <w:rFonts w:cs="Calibri"/>
                <w:lang w:val="en-GB"/>
              </w:rPr>
              <w:t xml:space="preserve">Operational amplifiers and circuits for </w:t>
            </w:r>
            <w:proofErr w:type="spellStart"/>
            <w:r>
              <w:rPr>
                <w:rFonts w:cs="Calibri"/>
                <w:lang w:val="en-GB"/>
              </w:rPr>
              <w:t>analog</w:t>
            </w:r>
            <w:proofErr w:type="spellEnd"/>
            <w:r>
              <w:rPr>
                <w:rFonts w:cs="Calibri"/>
                <w:lang w:val="en-GB"/>
              </w:rPr>
              <w:t xml:space="preserve"> signal conditioning and processing: voltage comparator, voltage follower, inverting and non-inverting voltage amplifier, adder, </w:t>
            </w:r>
            <w:proofErr w:type="spellStart"/>
            <w:r>
              <w:rPr>
                <w:rFonts w:cs="Calibri"/>
                <w:lang w:val="en-GB"/>
              </w:rPr>
              <w:t>subtractor</w:t>
            </w:r>
            <w:proofErr w:type="spellEnd"/>
            <w:r>
              <w:rPr>
                <w:rFonts w:cs="Calibri"/>
                <w:lang w:val="en-GB"/>
              </w:rPr>
              <w:t>, instrumentation amplifier, adjustment of voltage ranges, current-to-voltage converter, peak detector, Schmitt trigger, voltage references. D/</w:t>
            </w:r>
            <w:proofErr w:type="gramStart"/>
            <w:r>
              <w:rPr>
                <w:rFonts w:cs="Calibri"/>
                <w:lang w:val="en-GB"/>
              </w:rPr>
              <w:t>A and</w:t>
            </w:r>
            <w:proofErr w:type="gramEnd"/>
            <w:r>
              <w:rPr>
                <w:rFonts w:cs="Calibri"/>
                <w:lang w:val="en-GB"/>
              </w:rPr>
              <w:t xml:space="preserve"> A/D converters: types and their use in circuits. Resistors, capacitors, built-in and parasitic RC </w:t>
            </w:r>
            <w:r>
              <w:rPr>
                <w:rFonts w:cs="Calibri"/>
                <w:lang w:val="en-GB"/>
              </w:rPr>
              <w:lastRenderedPageBreak/>
              <w:t>and CR combinations, diodes.</w:t>
            </w:r>
          </w:p>
          <w:p w:rsidR="00726226" w:rsidRDefault="00726226">
            <w:pPr>
              <w:rPr>
                <w:rFonts w:cs="Calibri"/>
                <w:lang w:val="en-GB"/>
              </w:rPr>
            </w:pPr>
          </w:p>
          <w:p w:rsidR="00726226" w:rsidRDefault="0002545D">
            <w:pPr>
              <w:rPr>
                <w:rFonts w:cs="Calibri"/>
                <w:lang w:val="en-GB"/>
              </w:rPr>
            </w:pPr>
            <w:r>
              <w:rPr>
                <w:rFonts w:cs="Calibri"/>
                <w:lang w:val="en-GB"/>
              </w:rPr>
              <w:t>All circuits are illustrated with examples. Analyses and descriptions are highly non-idealized, and they highlight the real characteristics and their parasitic influence on the functioning of the circuits. Non-</w:t>
            </w:r>
            <w:proofErr w:type="spellStart"/>
            <w:r>
              <w:rPr>
                <w:rFonts w:cs="Calibri"/>
                <w:lang w:val="en-GB"/>
              </w:rPr>
              <w:t>idealities</w:t>
            </w:r>
            <w:proofErr w:type="spellEnd"/>
            <w:r>
              <w:rPr>
                <w:rFonts w:cs="Calibri"/>
                <w:lang w:val="en-GB"/>
              </w:rPr>
              <w:t xml:space="preserve"> are </w:t>
            </w:r>
            <w:proofErr w:type="spellStart"/>
            <w:r>
              <w:rPr>
                <w:rFonts w:cs="Calibri"/>
                <w:lang w:val="en-GB"/>
              </w:rPr>
              <w:t>analyzed</w:t>
            </w:r>
            <w:proofErr w:type="spellEnd"/>
            <w:r>
              <w:rPr>
                <w:rFonts w:cs="Calibri"/>
                <w:lang w:val="en-GB"/>
              </w:rPr>
              <w:t xml:space="preserve"> and illustrated with datasheets from manufacturers. Demonstrated are differences between the selected models of operational amplifiers. Described is capturing of signals from voltage, current and resistive sensors with practical examples.</w:t>
            </w:r>
          </w:p>
          <w:p w:rsidR="00726226" w:rsidRDefault="00726226">
            <w:pPr>
              <w:rPr>
                <w:rFonts w:cs="Calibri"/>
                <w:lang w:val="en-GB"/>
              </w:rPr>
            </w:pPr>
          </w:p>
          <w:p w:rsidR="00726226" w:rsidRDefault="0002545D">
            <w:pPr>
              <w:rPr>
                <w:rFonts w:cs="Calibri"/>
                <w:lang w:val="en-GB"/>
              </w:rPr>
            </w:pPr>
            <w:r>
              <w:rPr>
                <w:rFonts w:cs="Calibri"/>
                <w:lang w:val="en-GB"/>
              </w:rPr>
              <w:t>Non-</w:t>
            </w:r>
            <w:proofErr w:type="spellStart"/>
            <w:r>
              <w:rPr>
                <w:rFonts w:cs="Calibri"/>
                <w:lang w:val="en-GB"/>
              </w:rPr>
              <w:t>idealities</w:t>
            </w:r>
            <w:proofErr w:type="spellEnd"/>
            <w:r>
              <w:rPr>
                <w:rFonts w:cs="Calibri"/>
                <w:lang w:val="en-GB"/>
              </w:rPr>
              <w:t xml:space="preserve">, which tend to hamper precision sensor systems, are thoroughly </w:t>
            </w:r>
            <w:proofErr w:type="spellStart"/>
            <w:r>
              <w:rPr>
                <w:rFonts w:cs="Calibri"/>
                <w:lang w:val="en-GB"/>
              </w:rPr>
              <w:t>analyzed</w:t>
            </w:r>
            <w:proofErr w:type="spellEnd"/>
            <w:r>
              <w:rPr>
                <w:rFonts w:cs="Calibri"/>
                <w:lang w:val="en-GB"/>
              </w:rPr>
              <w:t>: offset voltage, input bias current, input offset current, input and output internal resistances, impact of non-infinite amplification, frequency limit, common-mode rejection, unstable power supply, slew rate, impact of load capacitance, drift, noise, temperature dependence. Outlined are compensations of offset voltage and input bias current, presented are methods for increasing of common-mode rejection ratio. Explained is the use of two operational amplifiers in the loop and correction of frequency characteristics. The most thoroughly discussed non-</w:t>
            </w:r>
            <w:proofErr w:type="spellStart"/>
            <w:r>
              <w:rPr>
                <w:rFonts w:cs="Calibri"/>
                <w:lang w:val="en-GB"/>
              </w:rPr>
              <w:t>idealities</w:t>
            </w:r>
            <w:proofErr w:type="spellEnd"/>
            <w:r>
              <w:rPr>
                <w:rFonts w:cs="Calibri"/>
                <w:lang w:val="en-GB"/>
              </w:rPr>
              <w:t xml:space="preserve"> of AD and DA converters are zero and full-range offset, gain error, integral and differential non-linearity. Demonstrated are measurements of signals’ spectra and observations of distortion.</w:t>
            </w:r>
          </w:p>
          <w:p w:rsidR="00726226" w:rsidRDefault="00726226">
            <w:pPr>
              <w:rPr>
                <w:rFonts w:cs="Calibri"/>
                <w:lang w:val="en-GB"/>
              </w:rPr>
            </w:pPr>
          </w:p>
          <w:p w:rsidR="00726226" w:rsidRDefault="0002545D">
            <w:pPr>
              <w:rPr>
                <w:rFonts w:cs="Calibri"/>
                <w:lang w:val="en-GB"/>
              </w:rPr>
            </w:pPr>
            <w:r>
              <w:rPr>
                <w:rFonts w:cs="Calibri"/>
                <w:lang w:val="en-GB"/>
              </w:rPr>
              <w:t>Analog characteristics of digital circuits with an emphasis on the use in conjunction with embedded systems: output resistance, input impedance, power consumption in conjunction with switching frequency, the influence of capacitive loads, types of digital outputs (totem pole, open drain). Oscillators for microprocessor systems. Analog switches and multiplexers together with their non-</w:t>
            </w:r>
            <w:proofErr w:type="spellStart"/>
            <w:r>
              <w:rPr>
                <w:rFonts w:cs="Calibri"/>
                <w:lang w:val="en-GB"/>
              </w:rPr>
              <w:t>idealities</w:t>
            </w:r>
            <w:proofErr w:type="spellEnd"/>
            <w:r>
              <w:rPr>
                <w:rFonts w:cs="Calibri"/>
                <w:lang w:val="en-GB"/>
              </w:rPr>
              <w:t>.</w:t>
            </w:r>
          </w:p>
          <w:p w:rsidR="00726226" w:rsidRDefault="00726226">
            <w:pPr>
              <w:rPr>
                <w:rFonts w:cs="Calibri"/>
                <w:lang w:val="en-GB"/>
              </w:rPr>
            </w:pPr>
          </w:p>
          <w:p w:rsidR="00726226" w:rsidRDefault="0002545D">
            <w:pPr>
              <w:rPr>
                <w:rFonts w:cs="Calibri"/>
                <w:lang w:val="en-GB"/>
              </w:rPr>
            </w:pPr>
            <w:r>
              <w:rPr>
                <w:rFonts w:cs="Calibri"/>
                <w:lang w:val="en-GB"/>
              </w:rPr>
              <w:t xml:space="preserve">Practical aspects of circuit realization: non-ideal ground and power lines, the use of blocking capacitors, the concept and use of connections </w:t>
            </w:r>
            <w:r>
              <w:rPr>
                <w:rFonts w:cs="Calibri"/>
                <w:lang w:val="en-GB"/>
              </w:rPr>
              <w:lastRenderedPageBreak/>
              <w:t>FORCE SENSE and REF, DC and AC coupling, basics of transmission lines.</w:t>
            </w:r>
          </w:p>
        </w:tc>
      </w:tr>
    </w:tbl>
    <w:p w:rsidR="00726226" w:rsidRDefault="00726226">
      <w:pPr>
        <w:rPr>
          <w:rFonts w:cs="Calibri"/>
          <w:szCs w:val="22"/>
        </w:rPr>
      </w:pPr>
    </w:p>
    <w:tbl>
      <w:tblPr>
        <w:tblW w:w="9690" w:type="dxa"/>
        <w:tblInd w:w="25" w:type="dxa"/>
        <w:tblCellMar>
          <w:left w:w="56" w:type="dxa"/>
          <w:right w:w="56" w:type="dxa"/>
        </w:tblCellMar>
        <w:tblLook w:val="00A0" w:firstRow="1" w:lastRow="0" w:firstColumn="1" w:lastColumn="0" w:noHBand="0" w:noVBand="0"/>
      </w:tblPr>
      <w:tblGrid>
        <w:gridCol w:w="4019"/>
        <w:gridCol w:w="697"/>
        <w:gridCol w:w="9"/>
        <w:gridCol w:w="143"/>
        <w:gridCol w:w="711"/>
        <w:gridCol w:w="4111"/>
      </w:tblGrid>
      <w:tr w:rsidR="00726226">
        <w:tc>
          <w:tcPr>
            <w:tcW w:w="9690" w:type="dxa"/>
            <w:gridSpan w:val="6"/>
            <w:shd w:val="clear" w:color="auto" w:fill="auto"/>
          </w:tcPr>
          <w:p w:rsidR="00726226" w:rsidRDefault="0002545D">
            <w:pPr>
              <w:jc w:val="both"/>
              <w:rPr>
                <w:rFonts w:cs="Calibri"/>
                <w:b/>
              </w:rPr>
            </w:pP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726226">
        <w:trPr>
          <w:trHeight w:val="2074"/>
        </w:trPr>
        <w:tc>
          <w:tcPr>
            <w:tcW w:w="9690" w:type="dxa"/>
            <w:gridSpan w:val="6"/>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pPr>
              <w:spacing w:line="276" w:lineRule="auto"/>
            </w:pPr>
            <w:bookmarkStart w:id="6" w:name="Ucbeniki"/>
            <w:bookmarkEnd w:id="6"/>
            <w:r>
              <w:t xml:space="preserve">1. Jung W. , Op </w:t>
            </w:r>
            <w:proofErr w:type="spellStart"/>
            <w:r>
              <w:t>Amp</w:t>
            </w:r>
            <w:proofErr w:type="spellEnd"/>
            <w:r>
              <w:t xml:space="preserve"> </w:t>
            </w:r>
            <w:proofErr w:type="spellStart"/>
            <w:r>
              <w:t>Applications</w:t>
            </w:r>
            <w:proofErr w:type="spellEnd"/>
            <w:r>
              <w:t xml:space="preserve"> </w:t>
            </w:r>
            <w:proofErr w:type="spellStart"/>
            <w:r>
              <w:t>Handobook</w:t>
            </w:r>
            <w:proofErr w:type="spellEnd"/>
            <w:r>
              <w:t xml:space="preserve">, Analog </w:t>
            </w:r>
            <w:proofErr w:type="spellStart"/>
            <w:r>
              <w:t>Devices</w:t>
            </w:r>
            <w:proofErr w:type="spellEnd"/>
            <w:r>
              <w:t>, 2005.</w:t>
            </w:r>
          </w:p>
          <w:p w:rsidR="00726226" w:rsidRDefault="0002545D">
            <w:pPr>
              <w:spacing w:line="276" w:lineRule="auto"/>
            </w:pPr>
            <w:r>
              <w:t xml:space="preserve">2. </w:t>
            </w:r>
            <w:proofErr w:type="spellStart"/>
            <w:r>
              <w:t>Kester</w:t>
            </w:r>
            <w:proofErr w:type="spellEnd"/>
            <w:r>
              <w:t xml:space="preserve"> W., </w:t>
            </w:r>
            <w:proofErr w:type="spellStart"/>
            <w:r>
              <w:t>The</w:t>
            </w:r>
            <w:proofErr w:type="spellEnd"/>
            <w:r>
              <w:t xml:space="preserve"> </w:t>
            </w:r>
            <w:proofErr w:type="spellStart"/>
            <w:r>
              <w:t>Data</w:t>
            </w:r>
            <w:proofErr w:type="spellEnd"/>
            <w:r>
              <w:t xml:space="preserve"> </w:t>
            </w:r>
            <w:proofErr w:type="spellStart"/>
            <w:r>
              <w:t>Conversion</w:t>
            </w:r>
            <w:proofErr w:type="spellEnd"/>
            <w:r>
              <w:t xml:space="preserve"> </w:t>
            </w:r>
            <w:proofErr w:type="spellStart"/>
            <w:r>
              <w:t>Handbook</w:t>
            </w:r>
            <w:proofErr w:type="spellEnd"/>
            <w:r>
              <w:t xml:space="preserve">, Analog </w:t>
            </w:r>
            <w:proofErr w:type="spellStart"/>
            <w:r>
              <w:t>Devices</w:t>
            </w:r>
            <w:proofErr w:type="spellEnd"/>
            <w:r>
              <w:t>, 2005.</w:t>
            </w:r>
          </w:p>
          <w:p w:rsidR="00726226" w:rsidRDefault="0002545D">
            <w:pPr>
              <w:spacing w:line="276" w:lineRule="auto"/>
            </w:pPr>
            <w:r>
              <w:t xml:space="preserve">3. </w:t>
            </w:r>
            <w:proofErr w:type="spellStart"/>
            <w:r>
              <w:t>Zumbahlen</w:t>
            </w:r>
            <w:proofErr w:type="spellEnd"/>
            <w:r>
              <w:t xml:space="preserve"> H., </w:t>
            </w:r>
            <w:proofErr w:type="spellStart"/>
            <w:r>
              <w:t>Linear</w:t>
            </w:r>
            <w:proofErr w:type="spellEnd"/>
            <w:r>
              <w:t xml:space="preserve"> </w:t>
            </w:r>
            <w:proofErr w:type="spellStart"/>
            <w:r>
              <w:t>Circuit</w:t>
            </w:r>
            <w:proofErr w:type="spellEnd"/>
            <w:r>
              <w:t xml:space="preserve"> </w:t>
            </w:r>
            <w:proofErr w:type="spellStart"/>
            <w:r>
              <w:t>Handbook</w:t>
            </w:r>
            <w:proofErr w:type="spellEnd"/>
            <w:r>
              <w:t xml:space="preserve">, Analog </w:t>
            </w:r>
            <w:proofErr w:type="spellStart"/>
            <w:r>
              <w:t>Devices</w:t>
            </w:r>
            <w:proofErr w:type="spellEnd"/>
            <w:r>
              <w:t>, 2008.</w:t>
            </w:r>
          </w:p>
          <w:p w:rsidR="00726226" w:rsidRDefault="0002545D">
            <w:pPr>
              <w:spacing w:line="276" w:lineRule="auto"/>
            </w:pPr>
            <w:r>
              <w:t xml:space="preserve">4. </w:t>
            </w:r>
            <w:proofErr w:type="spellStart"/>
            <w:r>
              <w:t>Kitchin</w:t>
            </w:r>
            <w:proofErr w:type="spellEnd"/>
            <w:r>
              <w:t xml:space="preserve"> C., </w:t>
            </w:r>
            <w:proofErr w:type="spellStart"/>
            <w:r>
              <w:t>Counts</w:t>
            </w:r>
            <w:proofErr w:type="spellEnd"/>
            <w:r>
              <w:t xml:space="preserve"> L., A </w:t>
            </w:r>
            <w:proofErr w:type="spellStart"/>
            <w:r>
              <w:t>Designer</w:t>
            </w:r>
            <w:proofErr w:type="spellEnd"/>
            <w:r>
              <w:t xml:space="preserve">'s </w:t>
            </w:r>
            <w:proofErr w:type="spellStart"/>
            <w:r>
              <w:t>Guide</w:t>
            </w:r>
            <w:proofErr w:type="spellEnd"/>
            <w:r>
              <w:t xml:space="preserve"> to </w:t>
            </w:r>
            <w:proofErr w:type="spellStart"/>
            <w:r>
              <w:t>Instrumentation</w:t>
            </w:r>
            <w:proofErr w:type="spellEnd"/>
            <w:r>
              <w:t xml:space="preserve"> </w:t>
            </w:r>
            <w:proofErr w:type="spellStart"/>
            <w:r>
              <w:t>Amplifiers</w:t>
            </w:r>
            <w:proofErr w:type="spellEnd"/>
            <w:r>
              <w:t xml:space="preserve"> (3rd </w:t>
            </w:r>
            <w:proofErr w:type="spellStart"/>
            <w:r>
              <w:t>edition</w:t>
            </w:r>
            <w:proofErr w:type="spellEnd"/>
            <w:r>
              <w:t xml:space="preserve">), Analog </w:t>
            </w:r>
            <w:proofErr w:type="spellStart"/>
            <w:r>
              <w:t>Devices</w:t>
            </w:r>
            <w:proofErr w:type="spellEnd"/>
            <w:r>
              <w:t>, 2006.</w:t>
            </w:r>
          </w:p>
          <w:p w:rsidR="00726226" w:rsidRDefault="0002545D">
            <w:pPr>
              <w:spacing w:line="276" w:lineRule="auto"/>
            </w:pPr>
            <w:r>
              <w:t xml:space="preserve">5. </w:t>
            </w:r>
            <w:proofErr w:type="spellStart"/>
            <w:r>
              <w:t>Toumazou</w:t>
            </w:r>
            <w:proofErr w:type="spellEnd"/>
            <w:r>
              <w:t xml:space="preserve"> C., </w:t>
            </w:r>
            <w:proofErr w:type="spellStart"/>
            <w:r>
              <w:t>Trade</w:t>
            </w:r>
            <w:proofErr w:type="spellEnd"/>
            <w:r>
              <w:t>-</w:t>
            </w:r>
            <w:proofErr w:type="spellStart"/>
            <w:r>
              <w:t>offs</w:t>
            </w:r>
            <w:proofErr w:type="spellEnd"/>
            <w:r>
              <w:t xml:space="preserve"> in Analog </w:t>
            </w:r>
            <w:proofErr w:type="spellStart"/>
            <w:r>
              <w:t>Circuit</w:t>
            </w:r>
            <w:proofErr w:type="spellEnd"/>
            <w:r>
              <w:t xml:space="preserve"> </w:t>
            </w:r>
            <w:proofErr w:type="spellStart"/>
            <w:r>
              <w:t>Design</w:t>
            </w:r>
            <w:proofErr w:type="spellEnd"/>
            <w:r>
              <w:t xml:space="preserve">, </w:t>
            </w:r>
            <w:proofErr w:type="spellStart"/>
            <w:r>
              <w:t>Kluwer</w:t>
            </w:r>
            <w:proofErr w:type="spellEnd"/>
            <w:r>
              <w:t xml:space="preserve"> </w:t>
            </w:r>
            <w:proofErr w:type="spellStart"/>
            <w:r>
              <w:t>Academic</w:t>
            </w:r>
            <w:proofErr w:type="spellEnd"/>
            <w:r>
              <w:t xml:space="preserve"> </w:t>
            </w:r>
            <w:proofErr w:type="spellStart"/>
            <w:r>
              <w:t>corp</w:t>
            </w:r>
            <w:proofErr w:type="spellEnd"/>
            <w:r>
              <w:t xml:space="preserve">., 2002. </w:t>
            </w:r>
          </w:p>
          <w:p w:rsidR="00726226" w:rsidRDefault="0002545D">
            <w:pPr>
              <w:spacing w:line="276" w:lineRule="auto"/>
            </w:pPr>
            <w:r>
              <w:t xml:space="preserve">6. </w:t>
            </w:r>
            <w:proofErr w:type="spellStart"/>
            <w:r>
              <w:t>Horowitz</w:t>
            </w:r>
            <w:proofErr w:type="spellEnd"/>
            <w:r>
              <w:t xml:space="preserve"> P., Hill W., </w:t>
            </w:r>
            <w:proofErr w:type="spellStart"/>
            <w:r>
              <w:t>The</w:t>
            </w:r>
            <w:proofErr w:type="spellEnd"/>
            <w:r>
              <w:t xml:space="preserve"> </w:t>
            </w:r>
            <w:proofErr w:type="spellStart"/>
            <w:r>
              <w:t>Art</w:t>
            </w:r>
            <w:proofErr w:type="spellEnd"/>
            <w:r>
              <w:t xml:space="preserve"> </w:t>
            </w:r>
            <w:proofErr w:type="spellStart"/>
            <w:r>
              <w:t>of</w:t>
            </w:r>
            <w:proofErr w:type="spellEnd"/>
            <w:r>
              <w:t xml:space="preserve"> </w:t>
            </w:r>
            <w:proofErr w:type="spellStart"/>
            <w:r>
              <w:t>Electronics</w:t>
            </w:r>
            <w:proofErr w:type="spellEnd"/>
            <w:r>
              <w:t xml:space="preserve">, Cambridge </w:t>
            </w:r>
            <w:proofErr w:type="spellStart"/>
            <w:r>
              <w:t>University</w:t>
            </w:r>
            <w:proofErr w:type="spellEnd"/>
            <w:r>
              <w:t xml:space="preserve"> </w:t>
            </w:r>
            <w:proofErr w:type="spellStart"/>
            <w:r>
              <w:t>Press</w:t>
            </w:r>
            <w:proofErr w:type="spellEnd"/>
            <w:r>
              <w:t>, 1996.</w:t>
            </w:r>
          </w:p>
          <w:p w:rsidR="00726226" w:rsidRDefault="0002545D">
            <w:pPr>
              <w:spacing w:line="276" w:lineRule="auto"/>
            </w:pPr>
            <w:r>
              <w:t xml:space="preserve">7. </w:t>
            </w:r>
            <w:proofErr w:type="spellStart"/>
            <w:r>
              <w:t>Kordyban</w:t>
            </w:r>
            <w:proofErr w:type="spellEnd"/>
            <w:r>
              <w:t xml:space="preserve"> T., </w:t>
            </w:r>
            <w:proofErr w:type="spellStart"/>
            <w:r>
              <w:t>Hot</w:t>
            </w:r>
            <w:proofErr w:type="spellEnd"/>
            <w:r>
              <w:t xml:space="preserve"> </w:t>
            </w:r>
            <w:proofErr w:type="spellStart"/>
            <w:r>
              <w:t>Air</w:t>
            </w:r>
            <w:proofErr w:type="spellEnd"/>
            <w:r>
              <w:t xml:space="preserve"> </w:t>
            </w:r>
            <w:proofErr w:type="spellStart"/>
            <w:r>
              <w:t>Rises</w:t>
            </w:r>
            <w:proofErr w:type="spellEnd"/>
            <w:r>
              <w:t xml:space="preserve"> </w:t>
            </w:r>
            <w:proofErr w:type="spellStart"/>
            <w:r>
              <w:t>and</w:t>
            </w:r>
            <w:proofErr w:type="spellEnd"/>
            <w:r>
              <w:t xml:space="preserve"> </w:t>
            </w:r>
            <w:proofErr w:type="spellStart"/>
            <w:r>
              <w:t>Heat</w:t>
            </w:r>
            <w:proofErr w:type="spellEnd"/>
            <w:r>
              <w:t xml:space="preserve"> </w:t>
            </w:r>
            <w:proofErr w:type="spellStart"/>
            <w:r>
              <w:t>Sinks</w:t>
            </w:r>
            <w:proofErr w:type="spellEnd"/>
            <w:r>
              <w:t xml:space="preserve">, ASME </w:t>
            </w:r>
            <w:proofErr w:type="spellStart"/>
            <w:r>
              <w:t>Press</w:t>
            </w:r>
            <w:proofErr w:type="spellEnd"/>
            <w:r>
              <w:t>, 1998.</w:t>
            </w:r>
          </w:p>
          <w:p w:rsidR="00726226" w:rsidRDefault="00726226">
            <w:pPr>
              <w:rPr>
                <w:rFonts w:cs="Calibri"/>
                <w:b/>
                <w:bCs/>
              </w:rPr>
            </w:pPr>
          </w:p>
        </w:tc>
      </w:tr>
      <w:tr w:rsidR="00726226">
        <w:trPr>
          <w:trHeight w:val="73"/>
        </w:trPr>
        <w:tc>
          <w:tcPr>
            <w:tcW w:w="4717" w:type="dxa"/>
            <w:gridSpan w:val="2"/>
            <w:tcBorders>
              <w:bottom w:val="single" w:sz="4" w:space="0" w:color="00000A"/>
            </w:tcBorders>
            <w:shd w:val="clear" w:color="auto" w:fill="auto"/>
          </w:tcPr>
          <w:p w:rsidR="00726226" w:rsidRDefault="00726226">
            <w:pPr>
              <w:rPr>
                <w:rFonts w:cs="Calibri"/>
                <w:b/>
                <w:bCs/>
              </w:rPr>
            </w:pPr>
          </w:p>
          <w:p w:rsidR="00726226" w:rsidRDefault="0002545D">
            <w:pPr>
              <w:rPr>
                <w:rFonts w:cs="Calibri"/>
                <w:b/>
              </w:rPr>
            </w:pPr>
            <w:r>
              <w:rPr>
                <w:rFonts w:cs="Calibri"/>
                <w:b/>
                <w:szCs w:val="22"/>
              </w:rPr>
              <w:t>Cilji in kompetence:</w:t>
            </w:r>
          </w:p>
        </w:tc>
        <w:tc>
          <w:tcPr>
            <w:tcW w:w="152" w:type="dxa"/>
            <w:gridSpan w:val="2"/>
            <w:shd w:val="clear" w:color="auto" w:fill="auto"/>
          </w:tcPr>
          <w:p w:rsidR="00726226" w:rsidRDefault="00726226">
            <w:pPr>
              <w:rPr>
                <w:rFonts w:cs="Calibri"/>
                <w:b/>
              </w:rPr>
            </w:pPr>
          </w:p>
        </w:tc>
        <w:tc>
          <w:tcPr>
            <w:tcW w:w="4821" w:type="dxa"/>
            <w:gridSpan w:val="2"/>
            <w:tcBorders>
              <w:bottom w:val="single" w:sz="4" w:space="0" w:color="00000A"/>
            </w:tcBorders>
            <w:shd w:val="clear" w:color="auto" w:fill="auto"/>
          </w:tcPr>
          <w:p w:rsidR="00726226" w:rsidRDefault="00726226">
            <w:pPr>
              <w:rPr>
                <w:rFonts w:cs="Calibri"/>
                <w:b/>
              </w:rPr>
            </w:pPr>
          </w:p>
          <w:p w:rsidR="00726226" w:rsidRDefault="0002545D">
            <w:pPr>
              <w:rPr>
                <w:rFonts w:cs="Calibri"/>
                <w:b/>
              </w:rPr>
            </w:pPr>
            <w:r>
              <w:rPr>
                <w:rFonts w:cs="Calibri"/>
                <w:b/>
                <w:szCs w:val="22"/>
                <w:lang w:val="en-GB"/>
              </w:rPr>
              <w:t>Objectives and competences</w:t>
            </w:r>
            <w:r>
              <w:rPr>
                <w:rFonts w:cs="Calibri"/>
                <w:b/>
                <w:szCs w:val="22"/>
              </w:rPr>
              <w:t>:</w:t>
            </w:r>
          </w:p>
        </w:tc>
      </w:tr>
      <w:tr w:rsidR="00726226">
        <w:trPr>
          <w:trHeight w:val="487"/>
        </w:trPr>
        <w:tc>
          <w:tcPr>
            <w:tcW w:w="4717"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rsidP="0002545D">
            <w:r>
              <w:t xml:space="preserve">Osvojitev konceptov in delovanja </w:t>
            </w:r>
            <w:r w:rsidRPr="0002545D">
              <w:t>analognih</w:t>
            </w:r>
            <w:r>
              <w:t xml:space="preserve"> vezij, ki se uporabljajo pri realizaciji senzorskih in vgrajenih sistemov. Obravnava ni idealizirana, ampak so poudarjena odstopanja realnih karakteristik od idealiziranih ter s tem povezane težave, ki nastopajo v praksi.</w:t>
            </w:r>
          </w:p>
          <w:p w:rsidR="00726226" w:rsidRDefault="00726226">
            <w:pPr>
              <w:jc w:val="both"/>
              <w:rPr>
                <w:rFonts w:cs="Calibri"/>
              </w:rPr>
            </w:pPr>
          </w:p>
        </w:tc>
        <w:tc>
          <w:tcPr>
            <w:tcW w:w="152" w:type="dxa"/>
            <w:gridSpan w:val="2"/>
            <w:tcBorders>
              <w:left w:val="single" w:sz="4" w:space="0" w:color="00000A"/>
              <w:right w:val="single" w:sz="4" w:space="0" w:color="00000A"/>
            </w:tcBorders>
            <w:shd w:val="clear" w:color="auto" w:fill="auto"/>
            <w:tcMar>
              <w:left w:w="51" w:type="dxa"/>
            </w:tcMar>
          </w:tcPr>
          <w:p w:rsidR="00726226" w:rsidRDefault="00726226">
            <w:pPr>
              <w:rPr>
                <w:rFonts w:cs="Calibri"/>
                <w:b/>
              </w:rPr>
            </w:pPr>
          </w:p>
        </w:tc>
        <w:tc>
          <w:tcPr>
            <w:tcW w:w="4821"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pPr>
              <w:rPr>
                <w:rFonts w:cs="Calibri"/>
              </w:rPr>
            </w:pPr>
            <w:r>
              <w:rPr>
                <w:rStyle w:val="hps"/>
                <w:lang w:val="en"/>
              </w:rPr>
              <w:t>Mastering the</w:t>
            </w:r>
            <w:r>
              <w:rPr>
                <w:lang w:val="en"/>
              </w:rPr>
              <w:t xml:space="preserve"> </w:t>
            </w:r>
            <w:r>
              <w:rPr>
                <w:rStyle w:val="hps"/>
                <w:lang w:val="en"/>
              </w:rPr>
              <w:t>concepts and</w:t>
            </w:r>
            <w:r>
              <w:rPr>
                <w:lang w:val="en"/>
              </w:rPr>
              <w:t xml:space="preserve"> </w:t>
            </w:r>
            <w:r>
              <w:rPr>
                <w:rStyle w:val="hps"/>
                <w:lang w:val="en"/>
              </w:rPr>
              <w:t>operation</w:t>
            </w:r>
            <w:r>
              <w:rPr>
                <w:lang w:val="en"/>
              </w:rPr>
              <w:t xml:space="preserve"> </w:t>
            </w:r>
            <w:r>
              <w:rPr>
                <w:rStyle w:val="hps"/>
                <w:lang w:val="en"/>
              </w:rPr>
              <w:t>of analog circuits</w:t>
            </w:r>
            <w:r>
              <w:rPr>
                <w:lang w:val="en"/>
              </w:rPr>
              <w:t xml:space="preserve"> for </w:t>
            </w:r>
            <w:r>
              <w:rPr>
                <w:rStyle w:val="hps"/>
                <w:lang w:val="en"/>
              </w:rPr>
              <w:t>realization</w:t>
            </w:r>
            <w:r>
              <w:rPr>
                <w:lang w:val="en"/>
              </w:rPr>
              <w:t xml:space="preserve"> </w:t>
            </w:r>
            <w:r>
              <w:rPr>
                <w:rStyle w:val="hps"/>
                <w:lang w:val="en"/>
              </w:rPr>
              <w:t>of sensor</w:t>
            </w:r>
            <w:r>
              <w:rPr>
                <w:lang w:val="en"/>
              </w:rPr>
              <w:t xml:space="preserve"> </w:t>
            </w:r>
            <w:r>
              <w:rPr>
                <w:rStyle w:val="hps"/>
                <w:lang w:val="en"/>
              </w:rPr>
              <w:t>and</w:t>
            </w:r>
            <w:r>
              <w:rPr>
                <w:lang w:val="en"/>
              </w:rPr>
              <w:t xml:space="preserve"> </w:t>
            </w:r>
            <w:r>
              <w:rPr>
                <w:rStyle w:val="hps"/>
                <w:lang w:val="en"/>
              </w:rPr>
              <w:t>embedded systems</w:t>
            </w:r>
            <w:r>
              <w:rPr>
                <w:lang w:val="en"/>
              </w:rPr>
              <w:t xml:space="preserve">. </w:t>
            </w:r>
            <w:r>
              <w:rPr>
                <w:rStyle w:val="hps"/>
                <w:lang w:val="en"/>
              </w:rPr>
              <w:t>Treatment is highly non-idealized and with highlight</w:t>
            </w:r>
            <w:r>
              <w:rPr>
                <w:lang w:val="en"/>
              </w:rPr>
              <w:t xml:space="preserve"> on </w:t>
            </w:r>
            <w:r>
              <w:rPr>
                <w:rStyle w:val="hps"/>
                <w:lang w:val="en"/>
              </w:rPr>
              <w:t>deviations</w:t>
            </w:r>
            <w:r>
              <w:rPr>
                <w:lang w:val="en"/>
              </w:rPr>
              <w:t xml:space="preserve"> </w:t>
            </w:r>
            <w:r>
              <w:rPr>
                <w:rStyle w:val="hps"/>
                <w:lang w:val="en"/>
              </w:rPr>
              <w:t>from the</w:t>
            </w:r>
            <w:r>
              <w:rPr>
                <w:lang w:val="en"/>
              </w:rPr>
              <w:t xml:space="preserve"> </w:t>
            </w:r>
            <w:r>
              <w:rPr>
                <w:rStyle w:val="hps"/>
                <w:lang w:val="en"/>
              </w:rPr>
              <w:t>idealized</w:t>
            </w:r>
            <w:r>
              <w:rPr>
                <w:lang w:val="en"/>
              </w:rPr>
              <w:t xml:space="preserve"> </w:t>
            </w:r>
            <w:r>
              <w:rPr>
                <w:rStyle w:val="hps"/>
                <w:lang w:val="en"/>
              </w:rPr>
              <w:t>characteristics</w:t>
            </w:r>
            <w:r>
              <w:rPr>
                <w:lang w:val="en"/>
              </w:rPr>
              <w:t xml:space="preserve"> </w:t>
            </w:r>
            <w:r>
              <w:rPr>
                <w:rStyle w:val="hps"/>
                <w:lang w:val="en"/>
              </w:rPr>
              <w:t>and the associated</w:t>
            </w:r>
            <w:r>
              <w:rPr>
                <w:lang w:val="en"/>
              </w:rPr>
              <w:t xml:space="preserve"> </w:t>
            </w:r>
            <w:r>
              <w:rPr>
                <w:rStyle w:val="hps"/>
                <w:lang w:val="en"/>
              </w:rPr>
              <w:t>problems that</w:t>
            </w:r>
            <w:r>
              <w:rPr>
                <w:lang w:val="en"/>
              </w:rPr>
              <w:t xml:space="preserve"> </w:t>
            </w:r>
            <w:r>
              <w:rPr>
                <w:rStyle w:val="hps"/>
                <w:lang w:val="en"/>
              </w:rPr>
              <w:t>occur</w:t>
            </w:r>
            <w:r>
              <w:rPr>
                <w:lang w:val="en"/>
              </w:rPr>
              <w:t xml:space="preserve"> </w:t>
            </w:r>
            <w:r>
              <w:rPr>
                <w:rStyle w:val="hps"/>
                <w:lang w:val="en"/>
              </w:rPr>
              <w:t>in practice.</w:t>
            </w:r>
          </w:p>
        </w:tc>
      </w:tr>
      <w:tr w:rsidR="00726226">
        <w:trPr>
          <w:trHeight w:val="117"/>
        </w:trPr>
        <w:tc>
          <w:tcPr>
            <w:tcW w:w="4726" w:type="dxa"/>
            <w:gridSpan w:val="3"/>
            <w:tcBorders>
              <w:bottom w:val="single" w:sz="4" w:space="0" w:color="00000A"/>
            </w:tcBorders>
            <w:shd w:val="clear" w:color="auto" w:fill="auto"/>
          </w:tcPr>
          <w:p w:rsidR="00726226" w:rsidRDefault="00726226">
            <w:pPr>
              <w:rPr>
                <w:rFonts w:cs="Calibri"/>
                <w:b/>
              </w:rPr>
            </w:pPr>
          </w:p>
          <w:p w:rsidR="00726226" w:rsidRDefault="0002545D">
            <w:pPr>
              <w:rPr>
                <w:rFonts w:cs="Calibri"/>
                <w:b/>
              </w:rPr>
            </w:pPr>
            <w:r>
              <w:rPr>
                <w:rFonts w:cs="Calibri"/>
                <w:b/>
                <w:szCs w:val="22"/>
              </w:rPr>
              <w:t>Predvideni študijski rezultati:</w:t>
            </w:r>
          </w:p>
        </w:tc>
        <w:tc>
          <w:tcPr>
            <w:tcW w:w="142" w:type="dxa"/>
            <w:shd w:val="clear" w:color="auto" w:fill="auto"/>
          </w:tcPr>
          <w:p w:rsidR="00726226" w:rsidRDefault="00726226">
            <w:pPr>
              <w:rPr>
                <w:rFonts w:cs="Calibri"/>
                <w:b/>
              </w:rPr>
            </w:pPr>
          </w:p>
          <w:p w:rsidR="00726226" w:rsidRDefault="00726226">
            <w:pPr>
              <w:rPr>
                <w:rFonts w:cs="Calibri"/>
                <w:b/>
              </w:rPr>
            </w:pPr>
          </w:p>
        </w:tc>
        <w:tc>
          <w:tcPr>
            <w:tcW w:w="4822" w:type="dxa"/>
            <w:gridSpan w:val="2"/>
            <w:tcBorders>
              <w:bottom w:val="single" w:sz="4" w:space="0" w:color="00000A"/>
            </w:tcBorders>
            <w:shd w:val="clear" w:color="auto" w:fill="auto"/>
          </w:tcPr>
          <w:p w:rsidR="00726226" w:rsidRDefault="00726226">
            <w:pPr>
              <w:rPr>
                <w:rFonts w:cs="Calibri"/>
                <w:b/>
                <w:lang w:val="en-GB"/>
              </w:rPr>
            </w:pPr>
          </w:p>
          <w:p w:rsidR="00726226" w:rsidRDefault="0002545D">
            <w:pPr>
              <w:rPr>
                <w:rFonts w:cs="Calibri"/>
                <w:b/>
                <w:lang w:val="en-GB"/>
              </w:rPr>
            </w:pPr>
            <w:r>
              <w:rPr>
                <w:rFonts w:cs="Calibri"/>
                <w:b/>
                <w:szCs w:val="22"/>
                <w:lang w:val="en-GB"/>
              </w:rPr>
              <w:t>Intended learning outcomes:</w:t>
            </w:r>
          </w:p>
        </w:tc>
      </w:tr>
      <w:tr w:rsidR="00726226">
        <w:trPr>
          <w:trHeight w:val="1387"/>
        </w:trPr>
        <w:tc>
          <w:tcPr>
            <w:tcW w:w="4726" w:type="dxa"/>
            <w:gridSpan w:val="3"/>
            <w:tcBorders>
              <w:top w:val="single" w:sz="4" w:space="0" w:color="00000A"/>
              <w:left w:val="single" w:sz="4" w:space="0" w:color="00000A"/>
              <w:right w:val="single" w:sz="4" w:space="0" w:color="00000A"/>
            </w:tcBorders>
            <w:shd w:val="clear" w:color="auto" w:fill="auto"/>
            <w:tcMar>
              <w:left w:w="51" w:type="dxa"/>
            </w:tcMar>
          </w:tcPr>
          <w:p w:rsidR="00726226" w:rsidRDefault="0002545D">
            <w:pPr>
              <w:jc w:val="both"/>
              <w:rPr>
                <w:rFonts w:cs="Calibri"/>
              </w:rPr>
            </w:pPr>
            <w:r>
              <w:rPr>
                <w:rFonts w:cs="Calibri"/>
              </w:rPr>
              <w:t xml:space="preserve">Zasnova kakovostnih in robustnih vezij avtomatike, senzorskih in vgrajenih sistemov. Koncepti in temeljne zakonitosti prenosa in </w:t>
            </w:r>
            <w:proofErr w:type="spellStart"/>
            <w:r>
              <w:rPr>
                <w:rFonts w:cs="Calibri"/>
              </w:rPr>
              <w:t>ojačevanja</w:t>
            </w:r>
            <w:proofErr w:type="spellEnd"/>
            <w:r>
              <w:rPr>
                <w:rFonts w:cs="Calibri"/>
              </w:rPr>
              <w:t xml:space="preserve"> nizkofrekvenčnih električnih signalov. Prehod med digitalno in analogno obliko signalov ter s tem povezane težave. Seznanitev z neidealnostmi in njihovo odpravljanje.</w:t>
            </w:r>
          </w:p>
        </w:tc>
        <w:tc>
          <w:tcPr>
            <w:tcW w:w="142" w:type="dxa"/>
            <w:tcBorders>
              <w:left w:val="single" w:sz="4" w:space="0" w:color="00000A"/>
              <w:right w:val="single" w:sz="4" w:space="0" w:color="00000A"/>
            </w:tcBorders>
            <w:shd w:val="clear" w:color="auto" w:fill="auto"/>
            <w:tcMar>
              <w:left w:w="51" w:type="dxa"/>
            </w:tcMar>
          </w:tcPr>
          <w:p w:rsidR="00726226" w:rsidRDefault="00726226">
            <w:pPr>
              <w:rPr>
                <w:rFonts w:cs="Calibri"/>
              </w:rPr>
            </w:pPr>
          </w:p>
        </w:tc>
        <w:tc>
          <w:tcPr>
            <w:tcW w:w="4822" w:type="dxa"/>
            <w:gridSpan w:val="2"/>
            <w:tcBorders>
              <w:top w:val="single" w:sz="4" w:space="0" w:color="00000A"/>
              <w:left w:val="single" w:sz="4" w:space="0" w:color="00000A"/>
              <w:right w:val="single" w:sz="4" w:space="0" w:color="00000A"/>
            </w:tcBorders>
            <w:shd w:val="clear" w:color="auto" w:fill="auto"/>
            <w:tcMar>
              <w:left w:w="51" w:type="dxa"/>
            </w:tcMar>
          </w:tcPr>
          <w:p w:rsidR="00726226" w:rsidRDefault="0002545D">
            <w:pPr>
              <w:rPr>
                <w:rFonts w:cs="Calibri"/>
                <w:lang w:val="en-GB"/>
              </w:rPr>
            </w:pPr>
            <w:r>
              <w:rPr>
                <w:rFonts w:ascii="Times New Roman" w:eastAsia="Times New Roman" w:hAnsi="Times New Roman"/>
                <w:lang w:val="en"/>
              </w:rPr>
              <w:t xml:space="preserve"> The design of high-quality and robust automation circuits, sensors and embedded systems. Concepts and basic rules of conditioning and processing of low-frequency sensor signals. The transition between digital and analog signals as well as related problems. Acquaintance with non-idealities and their handling.</w:t>
            </w:r>
          </w:p>
        </w:tc>
      </w:tr>
      <w:tr w:rsidR="00726226">
        <w:trPr>
          <w:trHeight w:val="112"/>
        </w:trPr>
        <w:tc>
          <w:tcPr>
            <w:tcW w:w="4726" w:type="dxa"/>
            <w:gridSpan w:val="3"/>
            <w:tcBorders>
              <w:left w:val="single" w:sz="4" w:space="0" w:color="00000A"/>
              <w:bottom w:val="single" w:sz="4" w:space="0" w:color="00000A"/>
              <w:right w:val="single" w:sz="4" w:space="0" w:color="00000A"/>
            </w:tcBorders>
            <w:shd w:val="clear" w:color="auto" w:fill="auto"/>
            <w:tcMar>
              <w:left w:w="51" w:type="dxa"/>
            </w:tcMar>
          </w:tcPr>
          <w:p w:rsidR="00726226" w:rsidRDefault="00726226">
            <w:pPr>
              <w:jc w:val="both"/>
              <w:rPr>
                <w:rFonts w:cs="Calibri"/>
              </w:rPr>
            </w:pPr>
          </w:p>
        </w:tc>
        <w:tc>
          <w:tcPr>
            <w:tcW w:w="142" w:type="dxa"/>
            <w:tcBorders>
              <w:left w:val="single" w:sz="4" w:space="0" w:color="00000A"/>
              <w:right w:val="single" w:sz="4" w:space="0" w:color="00000A"/>
            </w:tcBorders>
            <w:shd w:val="clear" w:color="auto" w:fill="auto"/>
            <w:tcMar>
              <w:left w:w="51" w:type="dxa"/>
            </w:tcMar>
          </w:tcPr>
          <w:p w:rsidR="00726226" w:rsidRDefault="00726226">
            <w:pPr>
              <w:rPr>
                <w:rFonts w:cs="Calibri"/>
                <w:b/>
              </w:rPr>
            </w:pPr>
          </w:p>
        </w:tc>
        <w:tc>
          <w:tcPr>
            <w:tcW w:w="4822" w:type="dxa"/>
            <w:gridSpan w:val="2"/>
            <w:tcBorders>
              <w:left w:val="single" w:sz="4" w:space="0" w:color="00000A"/>
              <w:bottom w:val="single" w:sz="4" w:space="0" w:color="00000A"/>
              <w:right w:val="single" w:sz="4" w:space="0" w:color="00000A"/>
            </w:tcBorders>
            <w:shd w:val="clear" w:color="auto" w:fill="auto"/>
            <w:tcMar>
              <w:left w:w="51" w:type="dxa"/>
            </w:tcMar>
          </w:tcPr>
          <w:p w:rsidR="00726226" w:rsidRDefault="00726226">
            <w:pPr>
              <w:rPr>
                <w:rFonts w:cs="Calibri"/>
              </w:rPr>
            </w:pPr>
          </w:p>
        </w:tc>
      </w:tr>
      <w:tr w:rsidR="00726226">
        <w:tc>
          <w:tcPr>
            <w:tcW w:w="4726" w:type="dxa"/>
            <w:gridSpan w:val="3"/>
            <w:tcBorders>
              <w:bottom w:val="single" w:sz="4" w:space="0" w:color="00000A"/>
            </w:tcBorders>
            <w:shd w:val="clear" w:color="auto" w:fill="auto"/>
          </w:tcPr>
          <w:p w:rsidR="00726226" w:rsidRDefault="00726226">
            <w:pPr>
              <w:rPr>
                <w:rFonts w:cs="Calibri"/>
                <w:b/>
              </w:rPr>
            </w:pPr>
          </w:p>
          <w:p w:rsidR="00726226" w:rsidRDefault="0002545D">
            <w:pPr>
              <w:rPr>
                <w:rFonts w:cs="Calibri"/>
                <w:b/>
              </w:rPr>
            </w:pPr>
            <w:r>
              <w:rPr>
                <w:rFonts w:cs="Calibri"/>
                <w:b/>
                <w:szCs w:val="22"/>
              </w:rPr>
              <w:t>Metode poučevanja in učenja:</w:t>
            </w:r>
          </w:p>
        </w:tc>
        <w:tc>
          <w:tcPr>
            <w:tcW w:w="142" w:type="dxa"/>
            <w:shd w:val="clear" w:color="auto" w:fill="auto"/>
          </w:tcPr>
          <w:p w:rsidR="00726226" w:rsidRDefault="00726226">
            <w:pPr>
              <w:rPr>
                <w:rFonts w:cs="Calibri"/>
                <w:b/>
              </w:rPr>
            </w:pPr>
          </w:p>
          <w:p w:rsidR="00726226" w:rsidRDefault="00726226">
            <w:pPr>
              <w:rPr>
                <w:rFonts w:cs="Calibri"/>
                <w:b/>
              </w:rPr>
            </w:pPr>
          </w:p>
        </w:tc>
        <w:tc>
          <w:tcPr>
            <w:tcW w:w="4822" w:type="dxa"/>
            <w:gridSpan w:val="2"/>
            <w:tcBorders>
              <w:bottom w:val="single" w:sz="4" w:space="0" w:color="00000A"/>
            </w:tcBorders>
            <w:shd w:val="clear" w:color="auto" w:fill="auto"/>
          </w:tcPr>
          <w:p w:rsidR="00726226" w:rsidRDefault="00726226">
            <w:pPr>
              <w:rPr>
                <w:rFonts w:cs="Calibri"/>
                <w:b/>
              </w:rPr>
            </w:pPr>
          </w:p>
          <w:p w:rsidR="00726226" w:rsidRDefault="0002545D">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726226">
        <w:trPr>
          <w:trHeight w:val="615"/>
        </w:trPr>
        <w:tc>
          <w:tcPr>
            <w:tcW w:w="4726" w:type="dxa"/>
            <w:gridSpan w:val="3"/>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rsidP="0002545D">
            <w:r>
              <w:lastRenderedPageBreak/>
              <w:t xml:space="preserve">Teoretično znanje obravnavane tematike pridobijo študenti na predavanjih, ki so vsebinsko tesno povezana z vajami. V okviru vaj študenti v praksi </w:t>
            </w:r>
            <w:r w:rsidRPr="0002545D">
              <w:t>spoznajo</w:t>
            </w:r>
            <w:r>
              <w:t xml:space="preserve"> reprezentativne primere obravnavanih vezij, njihove lastnosti in neidealnosti.</w:t>
            </w:r>
          </w:p>
        </w:tc>
        <w:tc>
          <w:tcPr>
            <w:tcW w:w="142" w:type="dxa"/>
            <w:tcBorders>
              <w:left w:val="single" w:sz="4" w:space="0" w:color="00000A"/>
              <w:right w:val="single" w:sz="4" w:space="0" w:color="00000A"/>
            </w:tcBorders>
            <w:shd w:val="clear" w:color="auto" w:fill="auto"/>
            <w:tcMar>
              <w:left w:w="51" w:type="dxa"/>
            </w:tcMar>
          </w:tcPr>
          <w:p w:rsidR="00726226" w:rsidRDefault="00726226">
            <w:pPr>
              <w:rPr>
                <w:rFonts w:cs="Calibri"/>
              </w:rPr>
            </w:pPr>
          </w:p>
        </w:tc>
        <w:tc>
          <w:tcPr>
            <w:tcW w:w="4822"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pPr>
              <w:rPr>
                <w:rFonts w:cs="Calibri"/>
              </w:rPr>
            </w:pPr>
            <w:r>
              <w:rPr>
                <w:rStyle w:val="hps"/>
                <w:lang w:val="en"/>
              </w:rPr>
              <w:t xml:space="preserve"> Lectures give students theoretical knowledge.</w:t>
            </w:r>
            <w:r>
              <w:rPr>
                <w:lang w:val="en"/>
              </w:rPr>
              <w:t xml:space="preserve"> Laboratory courses are tightly coupled with lectures, and give true hands-on experience of the lectured topics. Demonstrated is the working of discussed circuits, their non-idealities and methods for their handling.</w:t>
            </w:r>
          </w:p>
        </w:tc>
      </w:tr>
      <w:tr w:rsidR="00726226">
        <w:tc>
          <w:tcPr>
            <w:tcW w:w="4020" w:type="dxa"/>
            <w:tcBorders>
              <w:bottom w:val="single" w:sz="4" w:space="0" w:color="00000A"/>
            </w:tcBorders>
            <w:shd w:val="clear" w:color="auto" w:fill="auto"/>
          </w:tcPr>
          <w:p w:rsidR="00726226" w:rsidRDefault="00726226">
            <w:pPr>
              <w:rPr>
                <w:rFonts w:cs="Calibri"/>
                <w:b/>
              </w:rPr>
            </w:pPr>
          </w:p>
          <w:p w:rsidR="00726226" w:rsidRDefault="0002545D">
            <w:r>
              <w:rPr>
                <w:rFonts w:cs="Calibri"/>
                <w:b/>
                <w:szCs w:val="22"/>
              </w:rPr>
              <w:t>Načini ocenjevanja:</w:t>
            </w:r>
          </w:p>
        </w:tc>
        <w:tc>
          <w:tcPr>
            <w:tcW w:w="1560" w:type="dxa"/>
            <w:gridSpan w:val="4"/>
            <w:tcBorders>
              <w:bottom w:val="single" w:sz="4" w:space="0" w:color="00000A"/>
            </w:tcBorders>
            <w:shd w:val="clear" w:color="auto" w:fill="auto"/>
          </w:tcPr>
          <w:p w:rsidR="00726226" w:rsidRDefault="0002545D">
            <w:pPr>
              <w:rPr>
                <w:rFonts w:cs="Calibri"/>
              </w:rPr>
            </w:pPr>
            <w:r>
              <w:rPr>
                <w:rFonts w:cs="Calibri"/>
                <w:szCs w:val="22"/>
              </w:rPr>
              <w:t>Delež (v %) /</w:t>
            </w:r>
          </w:p>
          <w:p w:rsidR="00726226" w:rsidRDefault="0002545D">
            <w:pPr>
              <w:rPr>
                <w:rFonts w:cs="Calibri"/>
                <w:b/>
              </w:rPr>
            </w:pPr>
            <w:proofErr w:type="spellStart"/>
            <w:r>
              <w:rPr>
                <w:rFonts w:cs="Calibri"/>
                <w:szCs w:val="22"/>
              </w:rPr>
              <w:t>Weight</w:t>
            </w:r>
            <w:proofErr w:type="spellEnd"/>
            <w:r>
              <w:rPr>
                <w:rFonts w:cs="Calibri"/>
                <w:szCs w:val="22"/>
              </w:rPr>
              <w:t xml:space="preserve"> (in %)</w:t>
            </w:r>
          </w:p>
        </w:tc>
        <w:tc>
          <w:tcPr>
            <w:tcW w:w="4110" w:type="dxa"/>
            <w:tcBorders>
              <w:bottom w:val="single" w:sz="4" w:space="0" w:color="00000A"/>
            </w:tcBorders>
            <w:shd w:val="clear" w:color="auto" w:fill="auto"/>
          </w:tcPr>
          <w:p w:rsidR="00726226" w:rsidRDefault="00726226">
            <w:pPr>
              <w:rPr>
                <w:rFonts w:cs="Calibri"/>
                <w:b/>
              </w:rPr>
            </w:pPr>
          </w:p>
          <w:p w:rsidR="00726226" w:rsidRDefault="0002545D">
            <w:pPr>
              <w:rPr>
                <w:rFonts w:cs="Calibri"/>
                <w:b/>
              </w:rPr>
            </w:pPr>
            <w:proofErr w:type="spellStart"/>
            <w:r>
              <w:rPr>
                <w:rFonts w:cs="Calibri"/>
                <w:b/>
                <w:szCs w:val="22"/>
              </w:rPr>
              <w:t>Assessment</w:t>
            </w:r>
            <w:proofErr w:type="spellEnd"/>
            <w:r>
              <w:rPr>
                <w:rFonts w:cs="Calibri"/>
                <w:b/>
                <w:szCs w:val="22"/>
              </w:rPr>
              <w:t>:</w:t>
            </w:r>
          </w:p>
        </w:tc>
      </w:tr>
      <w:tr w:rsidR="00726226" w:rsidTr="0002545D">
        <w:trPr>
          <w:trHeight w:val="533"/>
        </w:trPr>
        <w:tc>
          <w:tcPr>
            <w:tcW w:w="4020" w:type="dxa"/>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5A542B" w:rsidP="0002545D">
            <w:r>
              <w:t xml:space="preserve">Pogoj za pristop k izpitu so </w:t>
            </w:r>
            <w:r w:rsidRPr="0002545D">
              <w:t>opravljeni</w:t>
            </w:r>
            <w:r>
              <w:t xml:space="preserve"> izpiti Osnove elektrotehnike I in II, Polprevodniška elektronika ter pozitivna sk</w:t>
            </w:r>
            <w:r>
              <w:t>upna ocena tedenskih kolokvijev</w:t>
            </w:r>
            <w:r w:rsidR="0002545D" w:rsidRPr="0002545D">
              <w:t>, na katerih se preverja snov predavanj v povezavi z vajami. Ocene so 6-10 (pozitivno) oziroma 1-5 (negativno).</w:t>
            </w:r>
          </w:p>
          <w:p w:rsidR="005A542B" w:rsidRPr="0002545D" w:rsidRDefault="005A542B" w:rsidP="0002545D"/>
          <w:p w:rsidR="00726226" w:rsidRPr="0002545D" w:rsidRDefault="0002545D" w:rsidP="0002545D">
            <w:r w:rsidRPr="0002545D">
              <w:t>Izpit je sestavljen iz pisnega in ustnega dela. ki je zopet ocenjevan z oceno 6-10 (pozitivno) oziroma 1-5 (negativno). Končna ocena je sestavljena iz povprečne ocene kolokvijev ter uspeha na pisnem in ustnem izpitu. V primeru solidnega razumevanja snovi na ustnem izpitu se končna ocena ustrezno poveča. V primeru negativno ocenjenega izpita ostane pozitivna ocena kolokvijev veljavna.</w:t>
            </w:r>
          </w:p>
          <w:p w:rsidR="00726226" w:rsidRPr="0002545D" w:rsidRDefault="0002545D" w:rsidP="0002545D">
            <w:r w:rsidRPr="0002545D">
              <w:t>Ocenjevalna lestvica:</w:t>
            </w:r>
            <w:r w:rsidRPr="0002545D">
              <w:br/>
              <w:t>nezadostno (od 1 do 5), zadostno (6), dobro (7), prav dobro (8), prav dobro (9), odlično (10).</w:t>
            </w:r>
          </w:p>
          <w:p w:rsidR="00726226" w:rsidRPr="0002545D" w:rsidRDefault="00726226" w:rsidP="0002545D"/>
          <w:p w:rsidR="00726226" w:rsidRPr="0002545D" w:rsidRDefault="0002545D" w:rsidP="0002545D">
            <w:r w:rsidRPr="0002545D">
              <w:t>Prispevki k oceni:</w:t>
            </w:r>
          </w:p>
          <w:p w:rsidR="00726226" w:rsidRPr="0002545D" w:rsidRDefault="0002545D" w:rsidP="0002545D">
            <w:r w:rsidRPr="0002545D">
              <w:t>pisni izpit: 50 %</w:t>
            </w:r>
          </w:p>
          <w:p w:rsidR="00726226" w:rsidRDefault="0002545D" w:rsidP="0002545D">
            <w:pPr>
              <w:rPr>
                <w:rFonts w:cs="Calibri"/>
              </w:rPr>
            </w:pPr>
            <w:r w:rsidRPr="0002545D">
              <w:t>ustni izpit: 50%</w:t>
            </w:r>
          </w:p>
        </w:tc>
        <w:tc>
          <w:tcPr>
            <w:tcW w:w="1560" w:type="dxa"/>
            <w:gridSpan w:val="4"/>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726226"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5A542B" w:rsidRDefault="005A542B" w:rsidP="0002545D">
            <w:pPr>
              <w:rPr>
                <w:rFonts w:cs="Calibri"/>
                <w:b/>
              </w:rPr>
            </w:pPr>
          </w:p>
          <w:p w:rsidR="005A542B" w:rsidRDefault="005A542B" w:rsidP="0002545D">
            <w:pPr>
              <w:rPr>
                <w:rFonts w:cs="Calibri"/>
                <w:b/>
              </w:rPr>
            </w:pPr>
          </w:p>
          <w:p w:rsidR="005A542B" w:rsidRDefault="005A542B"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Default="0002545D" w:rsidP="0002545D">
            <w:pPr>
              <w:rPr>
                <w:rFonts w:cs="Calibri"/>
                <w:b/>
              </w:rPr>
            </w:pPr>
          </w:p>
          <w:p w:rsidR="0002545D" w:rsidRPr="0002545D" w:rsidRDefault="0002545D" w:rsidP="0002545D">
            <w:pPr>
              <w:rPr>
                <w:rFonts w:cs="Calibri"/>
              </w:rPr>
            </w:pPr>
            <w:r w:rsidRPr="0002545D">
              <w:rPr>
                <w:rFonts w:cs="Calibri"/>
              </w:rPr>
              <w:t>50%</w:t>
            </w:r>
          </w:p>
          <w:p w:rsidR="0002545D" w:rsidRDefault="0002545D" w:rsidP="0002545D">
            <w:pPr>
              <w:rPr>
                <w:rFonts w:cs="Calibri"/>
                <w:b/>
              </w:rPr>
            </w:pPr>
            <w:r w:rsidRPr="0002545D">
              <w:rPr>
                <w:rFonts w:cs="Calibri"/>
              </w:rPr>
              <w:t>50%</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5A542B" w:rsidRDefault="005A542B">
            <w:pPr>
              <w:rPr>
                <w:rFonts w:ascii="Times New Roman" w:eastAsia="Times New Roman" w:hAnsi="Times New Roman"/>
                <w:lang w:val="en"/>
              </w:rPr>
            </w:pPr>
            <w:r>
              <w:rPr>
                <w:rFonts w:ascii="Times New Roman" w:eastAsia="Times New Roman" w:hAnsi="Times New Roman"/>
                <w:lang w:val="en"/>
              </w:rPr>
              <w:t xml:space="preserve">A </w:t>
            </w:r>
            <w:r w:rsidRPr="005A542B">
              <w:rPr>
                <w:rFonts w:ascii="Times New Roman" w:eastAsia="Times New Roman" w:hAnsi="Times New Roman"/>
                <w:lang w:val="en"/>
              </w:rPr>
              <w:t>passed exam of Fundamentals of electrical engineering I and II, and Semiconductor electronics are prerequisites for the exam.</w:t>
            </w:r>
            <w:r w:rsidR="0002545D">
              <w:rPr>
                <w:rFonts w:ascii="Times New Roman" w:eastAsia="Times New Roman" w:hAnsi="Times New Roman"/>
                <w:lang w:val="en"/>
              </w:rPr>
              <w:t xml:space="preserve"> </w:t>
            </w:r>
          </w:p>
          <w:p w:rsidR="00726226" w:rsidRDefault="0002545D">
            <w:pPr>
              <w:rPr>
                <w:rFonts w:ascii="Times New Roman" w:eastAsia="Times New Roman" w:hAnsi="Times New Roman"/>
                <w:lang w:val="en"/>
              </w:rPr>
            </w:pPr>
            <w:r>
              <w:rPr>
                <w:rFonts w:ascii="Times New Roman" w:eastAsia="Times New Roman" w:hAnsi="Times New Roman"/>
                <w:lang w:val="en"/>
              </w:rPr>
              <w:t xml:space="preserve">Before taking </w:t>
            </w:r>
            <w:proofErr w:type="gramStart"/>
            <w:r>
              <w:rPr>
                <w:rFonts w:ascii="Times New Roman" w:eastAsia="Times New Roman" w:hAnsi="Times New Roman"/>
                <w:lang w:val="en"/>
              </w:rPr>
              <w:t>an exam students</w:t>
            </w:r>
            <w:proofErr w:type="gramEnd"/>
            <w:r>
              <w:rPr>
                <w:rFonts w:ascii="Times New Roman" w:eastAsia="Times New Roman" w:hAnsi="Times New Roman"/>
                <w:lang w:val="en"/>
              </w:rPr>
              <w:t xml:space="preserve"> must achieve a cumulative positive assessment of weekly colloquia, in order to verify the comprehension and understanding of lectures in combination with exercises. Ratings are 6-10 (positive) or 1-5 (negative). </w:t>
            </w:r>
          </w:p>
          <w:p w:rsidR="00726226" w:rsidRDefault="0002545D">
            <w:pPr>
              <w:rPr>
                <w:rFonts w:ascii="Times New Roman" w:eastAsia="Times New Roman" w:hAnsi="Times New Roman"/>
                <w:lang w:val="en"/>
              </w:rPr>
            </w:pPr>
            <w:r>
              <w:rPr>
                <w:rFonts w:ascii="Times New Roman" w:eastAsia="Times New Roman" w:hAnsi="Times New Roman"/>
                <w:lang w:val="en"/>
              </w:rPr>
              <w:br/>
              <w:t xml:space="preserve">Exam consists of a written and an oral part, which again is measured by assessing grades 6-10 (positive) or 1-5 (negative). The final score is the average grade of colloquia and success in the written and oral examination. A solid understanding of the topics in the oral exam results in grade increase. In the case of a negative exam score the positive grades of colloquia remain valid. </w:t>
            </w:r>
            <w:r>
              <w:rPr>
                <w:rFonts w:ascii="Times New Roman" w:eastAsia="Times New Roman" w:hAnsi="Times New Roman"/>
                <w:lang w:val="en"/>
              </w:rPr>
              <w:br/>
            </w:r>
          </w:p>
          <w:p w:rsidR="00726226" w:rsidRDefault="0002545D">
            <w:r>
              <w:rPr>
                <w:rFonts w:ascii="Times New Roman" w:eastAsia="Times New Roman" w:hAnsi="Times New Roman"/>
                <w:lang w:val="en"/>
              </w:rPr>
              <w:t>Grading scale: insufficient (1 to 5), adequate (6), good (7), very good (8), very good (9), excellent (10).</w:t>
            </w:r>
          </w:p>
          <w:p w:rsidR="00726226" w:rsidRDefault="00726226">
            <w:pPr>
              <w:rPr>
                <w:rFonts w:ascii="Times New Roman" w:eastAsia="Times New Roman" w:hAnsi="Times New Roman" w:cs="Calibri"/>
                <w:b/>
                <w:lang w:val="en"/>
              </w:rPr>
            </w:pPr>
          </w:p>
          <w:p w:rsidR="00726226" w:rsidRDefault="0002545D">
            <w:pPr>
              <w:rPr>
                <w:rFonts w:cs="Calibri"/>
                <w:lang w:val="en-GB"/>
              </w:rPr>
            </w:pPr>
            <w:r>
              <w:rPr>
                <w:rFonts w:cs="Calibri"/>
                <w:lang w:val="en-GB"/>
              </w:rPr>
              <w:t>Contributions to final grade:</w:t>
            </w:r>
          </w:p>
          <w:p w:rsidR="00726226" w:rsidRDefault="0002545D">
            <w:pPr>
              <w:rPr>
                <w:lang w:val="en-GB"/>
              </w:rPr>
            </w:pPr>
            <w:r>
              <w:rPr>
                <w:lang w:val="en-GB"/>
              </w:rPr>
              <w:t>written exam: 50 %</w:t>
            </w:r>
          </w:p>
          <w:p w:rsidR="00726226" w:rsidRDefault="0002545D">
            <w:pPr>
              <w:rPr>
                <w:lang w:val="en-GB"/>
              </w:rPr>
            </w:pPr>
            <w:r>
              <w:rPr>
                <w:rFonts w:ascii="Times New Roman" w:eastAsia="Times New Roman" w:hAnsi="Times New Roman" w:cs="Calibri"/>
                <w:lang w:val="en"/>
              </w:rPr>
              <w:t>oral examination: 50 %</w:t>
            </w:r>
          </w:p>
        </w:tc>
      </w:tr>
      <w:tr w:rsidR="00726226">
        <w:tc>
          <w:tcPr>
            <w:tcW w:w="9690" w:type="dxa"/>
            <w:gridSpan w:val="6"/>
            <w:tcBorders>
              <w:top w:val="single" w:sz="4" w:space="0" w:color="00000A"/>
              <w:bottom w:val="single" w:sz="4" w:space="0" w:color="00000A"/>
            </w:tcBorders>
            <w:shd w:val="clear" w:color="auto" w:fill="auto"/>
          </w:tcPr>
          <w:p w:rsidR="00726226" w:rsidRDefault="00726226">
            <w:pPr>
              <w:rPr>
                <w:rFonts w:cs="Calibri"/>
                <w:b/>
              </w:rPr>
            </w:pPr>
          </w:p>
          <w:p w:rsidR="00726226" w:rsidRDefault="0002545D">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726226">
        <w:tc>
          <w:tcPr>
            <w:tcW w:w="9690" w:type="dxa"/>
            <w:gridSpan w:val="6"/>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726226" w:rsidRDefault="0002545D">
            <w:r>
              <w:rPr>
                <w:rFonts w:cs="Calibri"/>
              </w:rPr>
              <w:t xml:space="preserve">1. MUROVEC, Boštjan, PERŠ, Janez, MANDELJC, Rok, SULIĆ KENK, </w:t>
            </w:r>
            <w:proofErr w:type="spellStart"/>
            <w:r>
              <w:rPr>
                <w:rFonts w:cs="Calibri"/>
              </w:rPr>
              <w:t>Vildana</w:t>
            </w:r>
            <w:proofErr w:type="spellEnd"/>
            <w:r>
              <w:rPr>
                <w:rFonts w:cs="Calibri"/>
              </w:rPr>
              <w:t xml:space="preserve">, KOVAČIČ, Stanislav. </w:t>
            </w:r>
            <w:proofErr w:type="spellStart"/>
            <w:r>
              <w:rPr>
                <w:rFonts w:cs="Calibri"/>
              </w:rPr>
              <w:t>Towards</w:t>
            </w:r>
            <w:proofErr w:type="spellEnd"/>
            <w:r>
              <w:rPr>
                <w:rFonts w:cs="Calibri"/>
              </w:rPr>
              <w:t xml:space="preserve"> </w:t>
            </w:r>
            <w:proofErr w:type="spellStart"/>
            <w:r>
              <w:rPr>
                <w:rFonts w:cs="Calibri"/>
              </w:rPr>
              <w:t>commoditized</w:t>
            </w:r>
            <w:proofErr w:type="spellEnd"/>
            <w:r>
              <w:rPr>
                <w:rFonts w:cs="Calibri"/>
              </w:rPr>
              <w:t xml:space="preserve"> </w:t>
            </w:r>
            <w:proofErr w:type="spellStart"/>
            <w:r>
              <w:rPr>
                <w:rFonts w:cs="Calibri"/>
              </w:rPr>
              <w:t>smart</w:t>
            </w:r>
            <w:proofErr w:type="spellEnd"/>
            <w:r>
              <w:rPr>
                <w:rFonts w:cs="Calibri"/>
              </w:rPr>
              <w:t>-</w:t>
            </w:r>
            <w:proofErr w:type="spellStart"/>
            <w:r>
              <w:rPr>
                <w:rFonts w:cs="Calibri"/>
              </w:rPr>
              <w:t>camera</w:t>
            </w:r>
            <w:proofErr w:type="spellEnd"/>
            <w:r>
              <w:rPr>
                <w:rFonts w:cs="Calibri"/>
              </w:rPr>
              <w:t xml:space="preserve"> </w:t>
            </w:r>
            <w:proofErr w:type="spellStart"/>
            <w:r>
              <w:rPr>
                <w:rFonts w:cs="Calibri"/>
              </w:rPr>
              <w:t>design</w:t>
            </w:r>
            <w:proofErr w:type="spellEnd"/>
            <w:r>
              <w:rPr>
                <w:rFonts w:cs="Calibri"/>
              </w:rPr>
              <w:t xml:space="preserve">. </w:t>
            </w:r>
            <w:proofErr w:type="spellStart"/>
            <w:r>
              <w:rPr>
                <w:rFonts w:cs="Calibri"/>
              </w:rPr>
              <w:t>Journal</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Systems</w:t>
            </w:r>
            <w:proofErr w:type="spellEnd"/>
            <w:r>
              <w:rPr>
                <w:rFonts w:cs="Calibri"/>
              </w:rPr>
              <w:t xml:space="preserve"> </w:t>
            </w:r>
            <w:proofErr w:type="spellStart"/>
            <w:r>
              <w:rPr>
                <w:rFonts w:cs="Calibri"/>
              </w:rPr>
              <w:t>Architecture</w:t>
            </w:r>
            <w:proofErr w:type="spellEnd"/>
            <w:r>
              <w:rPr>
                <w:rFonts w:cs="Calibri"/>
              </w:rPr>
              <w:t>, ISSN 1383-7621, Nov. 2013, no. 10, part A, str. 847-858.</w:t>
            </w:r>
          </w:p>
          <w:p w:rsidR="00726226" w:rsidRDefault="0002545D">
            <w:r>
              <w:rPr>
                <w:rFonts w:cs="Calibri"/>
              </w:rPr>
              <w:t>2. MUROVEC, Boštjan, KOCIJANČIČ, Slavko. A USB-</w:t>
            </w:r>
            <w:proofErr w:type="spellStart"/>
            <w:r>
              <w:rPr>
                <w:rFonts w:cs="Calibri"/>
              </w:rPr>
              <w:t>based</w:t>
            </w:r>
            <w:proofErr w:type="spellEnd"/>
            <w:r>
              <w:rPr>
                <w:rFonts w:cs="Calibri"/>
              </w:rPr>
              <w:t xml:space="preserve"> </w:t>
            </w:r>
            <w:proofErr w:type="spellStart"/>
            <w:r>
              <w:rPr>
                <w:rFonts w:cs="Calibri"/>
              </w:rPr>
              <w:t>data</w:t>
            </w:r>
            <w:proofErr w:type="spellEnd"/>
            <w:r>
              <w:rPr>
                <w:rFonts w:cs="Calibri"/>
              </w:rPr>
              <w:t xml:space="preserve"> </w:t>
            </w:r>
            <w:proofErr w:type="spellStart"/>
            <w:r>
              <w:rPr>
                <w:rFonts w:cs="Calibri"/>
              </w:rPr>
              <w:t>acquisition</w:t>
            </w:r>
            <w:proofErr w:type="spellEnd"/>
            <w:r>
              <w:rPr>
                <w:rFonts w:cs="Calibri"/>
              </w:rPr>
              <w:t xml:space="preserve"> </w:t>
            </w:r>
            <w:proofErr w:type="spellStart"/>
            <w:r>
              <w:rPr>
                <w:rFonts w:cs="Calibri"/>
              </w:rPr>
              <w:t>system</w:t>
            </w:r>
            <w:proofErr w:type="spellEnd"/>
            <w:r>
              <w:rPr>
                <w:rFonts w:cs="Calibri"/>
              </w:rPr>
              <w:t xml:space="preserve"> </w:t>
            </w:r>
            <w:proofErr w:type="spellStart"/>
            <w:r>
              <w:rPr>
                <w:rFonts w:cs="Calibri"/>
              </w:rPr>
              <w:t>designed</w:t>
            </w:r>
            <w:proofErr w:type="spellEnd"/>
            <w:r>
              <w:rPr>
                <w:rFonts w:cs="Calibri"/>
              </w:rPr>
              <w:t xml:space="preserve"> </w:t>
            </w:r>
            <w:proofErr w:type="spellStart"/>
            <w:r>
              <w:rPr>
                <w:rFonts w:cs="Calibri"/>
              </w:rPr>
              <w:t>for</w:t>
            </w:r>
            <w:proofErr w:type="spellEnd"/>
            <w:r>
              <w:rPr>
                <w:rFonts w:cs="Calibri"/>
              </w:rPr>
              <w:t xml:space="preserve"> </w:t>
            </w:r>
            <w:proofErr w:type="spellStart"/>
            <w:r>
              <w:rPr>
                <w:rFonts w:cs="Calibri"/>
              </w:rPr>
              <w:t>educational</w:t>
            </w:r>
            <w:proofErr w:type="spellEnd"/>
            <w:r>
              <w:rPr>
                <w:rFonts w:cs="Calibri"/>
              </w:rPr>
              <w:t xml:space="preserve"> </w:t>
            </w:r>
            <w:proofErr w:type="spellStart"/>
            <w:r>
              <w:rPr>
                <w:rFonts w:cs="Calibri"/>
              </w:rPr>
              <w:t>purposes</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international</w:t>
            </w:r>
            <w:proofErr w:type="spellEnd"/>
            <w:r>
              <w:rPr>
                <w:rFonts w:cs="Calibri"/>
              </w:rPr>
              <w:t xml:space="preserve"> </w:t>
            </w:r>
            <w:proofErr w:type="spellStart"/>
            <w:r>
              <w:rPr>
                <w:rFonts w:cs="Calibri"/>
              </w:rPr>
              <w:t>journal</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engineering</w:t>
            </w:r>
            <w:proofErr w:type="spellEnd"/>
            <w:r>
              <w:rPr>
                <w:rFonts w:cs="Calibri"/>
              </w:rPr>
              <w:t xml:space="preserve"> </w:t>
            </w:r>
            <w:proofErr w:type="spellStart"/>
            <w:r>
              <w:rPr>
                <w:rFonts w:cs="Calibri"/>
              </w:rPr>
              <w:t>education</w:t>
            </w:r>
            <w:proofErr w:type="spellEnd"/>
            <w:r>
              <w:rPr>
                <w:rFonts w:cs="Calibri"/>
              </w:rPr>
              <w:t>, ISSN 0949-149X, 2004, vol. 20, no. 1, str. 24-30.</w:t>
            </w:r>
          </w:p>
          <w:p w:rsidR="00726226" w:rsidRDefault="0002545D">
            <w:r>
              <w:rPr>
                <w:rFonts w:cs="Calibri"/>
              </w:rPr>
              <w:t xml:space="preserve">3. MOČNIK, Jure, GORNIK, Miha, MUROVEC, Boštjan, ŽEMVA, Andrej. A </w:t>
            </w:r>
            <w:proofErr w:type="spellStart"/>
            <w:r>
              <w:rPr>
                <w:rFonts w:cs="Calibri"/>
              </w:rPr>
              <w:t>concept</w:t>
            </w:r>
            <w:proofErr w:type="spellEnd"/>
            <w:r>
              <w:rPr>
                <w:rFonts w:cs="Calibri"/>
              </w:rPr>
              <w:t xml:space="preserve"> to </w:t>
            </w:r>
            <w:proofErr w:type="spellStart"/>
            <w:r>
              <w:rPr>
                <w:rFonts w:cs="Calibri"/>
              </w:rPr>
              <w:t>optimize</w:t>
            </w:r>
            <w:proofErr w:type="spellEnd"/>
            <w:r>
              <w:rPr>
                <w:rFonts w:cs="Calibri"/>
              </w:rPr>
              <w:t xml:space="preserve"> </w:t>
            </w:r>
            <w:proofErr w:type="spellStart"/>
            <w:r>
              <w:rPr>
                <w:rFonts w:cs="Calibri"/>
              </w:rPr>
              <w:t>power</w:t>
            </w:r>
            <w:proofErr w:type="spellEnd"/>
            <w:r>
              <w:rPr>
                <w:rFonts w:cs="Calibri"/>
              </w:rPr>
              <w:t xml:space="preserve"> </w:t>
            </w:r>
            <w:proofErr w:type="spellStart"/>
            <w:r>
              <w:rPr>
                <w:rFonts w:cs="Calibri"/>
              </w:rPr>
              <w:t>consumption</w:t>
            </w:r>
            <w:proofErr w:type="spellEnd"/>
            <w:r>
              <w:rPr>
                <w:rFonts w:cs="Calibri"/>
              </w:rPr>
              <w:t xml:space="preserve"> in </w:t>
            </w:r>
            <w:proofErr w:type="spellStart"/>
            <w:r>
              <w:rPr>
                <w:rFonts w:cs="Calibri"/>
              </w:rPr>
              <w:t>smart</w:t>
            </w:r>
            <w:proofErr w:type="spellEnd"/>
            <w:r>
              <w:rPr>
                <w:rFonts w:cs="Calibri"/>
              </w:rPr>
              <w:t xml:space="preserve"> </w:t>
            </w:r>
            <w:proofErr w:type="spellStart"/>
            <w:r>
              <w:rPr>
                <w:rFonts w:cs="Calibri"/>
              </w:rPr>
              <w:t>homes</w:t>
            </w:r>
            <w:proofErr w:type="spellEnd"/>
            <w:r>
              <w:rPr>
                <w:rFonts w:cs="Calibri"/>
              </w:rPr>
              <w:t xml:space="preserve"> </w:t>
            </w:r>
            <w:proofErr w:type="spellStart"/>
            <w:r>
              <w:rPr>
                <w:rFonts w:cs="Calibri"/>
              </w:rPr>
              <w:t>based</w:t>
            </w:r>
            <w:proofErr w:type="spellEnd"/>
            <w:r>
              <w:rPr>
                <w:rFonts w:cs="Calibri"/>
              </w:rPr>
              <w:t xml:space="preserve"> on </w:t>
            </w:r>
            <w:proofErr w:type="spellStart"/>
            <w:r>
              <w:rPr>
                <w:rFonts w:cs="Calibri"/>
              </w:rPr>
              <w:t>demand</w:t>
            </w:r>
            <w:proofErr w:type="spellEnd"/>
            <w:r>
              <w:rPr>
                <w:rFonts w:cs="Calibri"/>
              </w:rPr>
              <w:t>-</w:t>
            </w:r>
            <w:proofErr w:type="spellStart"/>
            <w:r>
              <w:rPr>
                <w:rFonts w:cs="Calibri"/>
              </w:rPr>
              <w:t>side</w:t>
            </w:r>
            <w:proofErr w:type="spellEnd"/>
            <w:r>
              <w:rPr>
                <w:rFonts w:cs="Calibri"/>
              </w:rPr>
              <w:t xml:space="preserve"> </w:t>
            </w:r>
            <w:proofErr w:type="spellStart"/>
            <w:r>
              <w:rPr>
                <w:rFonts w:cs="Calibri"/>
              </w:rPr>
              <w:t>management</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using</w:t>
            </w:r>
            <w:proofErr w:type="spellEnd"/>
            <w:r>
              <w:rPr>
                <w:rFonts w:cs="Calibri"/>
              </w:rPr>
              <w:t xml:space="preserve"> </w:t>
            </w:r>
            <w:proofErr w:type="spellStart"/>
            <w:r>
              <w:rPr>
                <w:rFonts w:cs="Calibri"/>
              </w:rPr>
              <w:t>smart</w:t>
            </w:r>
            <w:proofErr w:type="spellEnd"/>
            <w:r>
              <w:rPr>
                <w:rFonts w:cs="Calibri"/>
              </w:rPr>
              <w:t xml:space="preserve"> </w:t>
            </w:r>
            <w:proofErr w:type="spellStart"/>
            <w:r>
              <w:rPr>
                <w:rFonts w:cs="Calibri"/>
              </w:rPr>
              <w:t>switches</w:t>
            </w:r>
            <w:proofErr w:type="spellEnd"/>
            <w:r>
              <w:rPr>
                <w:rFonts w:cs="Calibri"/>
              </w:rPr>
              <w:t xml:space="preserve">. Elektrotehniški vestnik, ISSN 0013-5852, 2013, </w:t>
            </w:r>
            <w:proofErr w:type="spellStart"/>
            <w:r>
              <w:rPr>
                <w:rFonts w:cs="Calibri"/>
              </w:rPr>
              <w:t>letn</w:t>
            </w:r>
            <w:proofErr w:type="spellEnd"/>
            <w:r>
              <w:rPr>
                <w:rFonts w:cs="Calibri"/>
              </w:rPr>
              <w:t>. 80, št. 5, str. 217-221.</w:t>
            </w:r>
          </w:p>
          <w:p w:rsidR="00726226" w:rsidRDefault="0002545D">
            <w:r>
              <w:rPr>
                <w:rFonts w:cs="Calibri"/>
              </w:rPr>
              <w:lastRenderedPageBreak/>
              <w:t xml:space="preserve">4. MUROVEC, Boštjan, TIEDJE, James M., STRES, Blaž. DNA </w:t>
            </w:r>
            <w:proofErr w:type="spellStart"/>
            <w:r>
              <w:rPr>
                <w:rFonts w:cs="Calibri"/>
              </w:rPr>
              <w:t>encoding</w:t>
            </w:r>
            <w:proofErr w:type="spellEnd"/>
            <w:r>
              <w:rPr>
                <w:rFonts w:cs="Calibri"/>
              </w:rPr>
              <w:t xml:space="preserve"> </w:t>
            </w:r>
            <w:proofErr w:type="spellStart"/>
            <w:r>
              <w:rPr>
                <w:rFonts w:cs="Calibri"/>
              </w:rPr>
              <w:t>for</w:t>
            </w:r>
            <w:proofErr w:type="spellEnd"/>
            <w:r>
              <w:rPr>
                <w:rFonts w:cs="Calibri"/>
              </w:rPr>
              <w:t xml:space="preserve"> </w:t>
            </w:r>
            <w:proofErr w:type="spellStart"/>
            <w:r>
              <w:rPr>
                <w:rFonts w:cs="Calibri"/>
              </w:rPr>
              <w:t>an</w:t>
            </w:r>
            <w:proofErr w:type="spellEnd"/>
            <w:r>
              <w:rPr>
                <w:rFonts w:cs="Calibri"/>
              </w:rPr>
              <w:t xml:space="preserve"> </w:t>
            </w:r>
            <w:proofErr w:type="spellStart"/>
            <w:r>
              <w:rPr>
                <w:rFonts w:cs="Calibri"/>
              </w:rPr>
              <w:t>efficient</w:t>
            </w:r>
            <w:proofErr w:type="spellEnd"/>
            <w:r>
              <w:rPr>
                <w:rFonts w:cs="Calibri"/>
              </w:rPr>
              <w:t xml:space="preserve"> '</w:t>
            </w:r>
            <w:proofErr w:type="spellStart"/>
            <w:r>
              <w:rPr>
                <w:rFonts w:cs="Calibri"/>
              </w:rPr>
              <w:t>Omics</w:t>
            </w:r>
            <w:proofErr w:type="spellEnd"/>
            <w:r>
              <w:rPr>
                <w:rFonts w:cs="Calibri"/>
              </w:rPr>
              <w:t xml:space="preserve"> </w:t>
            </w:r>
            <w:proofErr w:type="spellStart"/>
            <w:r>
              <w:rPr>
                <w:rFonts w:cs="Calibri"/>
              </w:rPr>
              <w:t>processing</w:t>
            </w:r>
            <w:proofErr w:type="spellEnd"/>
            <w:r>
              <w:rPr>
                <w:rFonts w:cs="Calibri"/>
              </w:rPr>
              <w:t xml:space="preserve">. </w:t>
            </w:r>
            <w:proofErr w:type="spellStart"/>
            <w:r>
              <w:rPr>
                <w:rFonts w:cs="Calibri"/>
              </w:rPr>
              <w:t>Computer</w:t>
            </w:r>
            <w:proofErr w:type="spellEnd"/>
            <w:r>
              <w:rPr>
                <w:rFonts w:cs="Calibri"/>
              </w:rPr>
              <w:t xml:space="preserve"> </w:t>
            </w:r>
            <w:proofErr w:type="spellStart"/>
            <w:r>
              <w:rPr>
                <w:rFonts w:cs="Calibri"/>
              </w:rPr>
              <w:t>methods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programs</w:t>
            </w:r>
            <w:proofErr w:type="spellEnd"/>
            <w:r>
              <w:rPr>
                <w:rFonts w:cs="Calibri"/>
              </w:rPr>
              <w:t xml:space="preserve"> in biomedicine, ISSN 0169-2607, 2010, vol. 100, no. 2, str. 175-190.</w:t>
            </w:r>
          </w:p>
          <w:p w:rsidR="00726226" w:rsidRDefault="0002545D">
            <w:r>
              <w:rPr>
                <w:rFonts w:cs="Calibri"/>
              </w:rPr>
              <w:t xml:space="preserve">5. NAGODE, Klemen, MUROVEC, Boštjan. A </w:t>
            </w:r>
            <w:proofErr w:type="spellStart"/>
            <w:r>
              <w:rPr>
                <w:rFonts w:cs="Calibri"/>
              </w:rPr>
              <w:t>complex</w:t>
            </w:r>
            <w:proofErr w:type="spellEnd"/>
            <w:r>
              <w:rPr>
                <w:rFonts w:cs="Calibri"/>
              </w:rPr>
              <w:t xml:space="preserve"> </w:t>
            </w:r>
            <w:proofErr w:type="spellStart"/>
            <w:r>
              <w:rPr>
                <w:rFonts w:cs="Calibri"/>
              </w:rPr>
              <w:t>hydro</w:t>
            </w:r>
            <w:proofErr w:type="spellEnd"/>
            <w:r>
              <w:rPr>
                <w:rFonts w:cs="Calibri"/>
              </w:rPr>
              <w:t>-</w:t>
            </w:r>
            <w:proofErr w:type="spellStart"/>
            <w:r>
              <w:rPr>
                <w:rFonts w:cs="Calibri"/>
              </w:rPr>
              <w:t>power</w:t>
            </w:r>
            <w:proofErr w:type="spellEnd"/>
            <w:r>
              <w:rPr>
                <w:rFonts w:cs="Calibri"/>
              </w:rPr>
              <w:t xml:space="preserve"> </w:t>
            </w:r>
            <w:proofErr w:type="spellStart"/>
            <w:r>
              <w:rPr>
                <w:rFonts w:cs="Calibri"/>
              </w:rPr>
              <w:t>plant</w:t>
            </w:r>
            <w:proofErr w:type="spellEnd"/>
            <w:r>
              <w:rPr>
                <w:rFonts w:cs="Calibri"/>
              </w:rPr>
              <w:t xml:space="preserve"> </w:t>
            </w:r>
            <w:proofErr w:type="spellStart"/>
            <w:r>
              <w:rPr>
                <w:rFonts w:cs="Calibri"/>
              </w:rPr>
              <w:t>dynamic</w:t>
            </w:r>
            <w:proofErr w:type="spellEnd"/>
            <w:r>
              <w:rPr>
                <w:rFonts w:cs="Calibri"/>
              </w:rPr>
              <w:t xml:space="preserve"> model </w:t>
            </w:r>
            <w:proofErr w:type="spellStart"/>
            <w:r>
              <w:rPr>
                <w:rFonts w:cs="Calibri"/>
              </w:rPr>
              <w:t>integrated</w:t>
            </w:r>
            <w:proofErr w:type="spellEnd"/>
            <w:r>
              <w:rPr>
                <w:rFonts w:cs="Calibri"/>
              </w:rPr>
              <w:t xml:space="preserve"> </w:t>
            </w:r>
            <w:proofErr w:type="spellStart"/>
            <w:r>
              <w:rPr>
                <w:rFonts w:cs="Calibri"/>
              </w:rPr>
              <w:t>into</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electrical</w:t>
            </w:r>
            <w:proofErr w:type="spellEnd"/>
            <w:r>
              <w:rPr>
                <w:rFonts w:cs="Calibri"/>
              </w:rPr>
              <w:t xml:space="preserve"> </w:t>
            </w:r>
            <w:proofErr w:type="spellStart"/>
            <w:r>
              <w:rPr>
                <w:rFonts w:cs="Calibri"/>
              </w:rPr>
              <w:t>network</w:t>
            </w:r>
            <w:proofErr w:type="spellEnd"/>
            <w:r>
              <w:rPr>
                <w:rFonts w:cs="Calibri"/>
              </w:rPr>
              <w:t xml:space="preserve">. </w:t>
            </w:r>
            <w:r>
              <w:rPr>
                <w:rFonts w:cs="Calibri"/>
                <w:i/>
              </w:rPr>
              <w:t>Elektrotehniški vestnik</w:t>
            </w:r>
            <w:r>
              <w:rPr>
                <w:rFonts w:cs="Calibri"/>
              </w:rPr>
              <w:t xml:space="preserve">, ISSN 0013-5852, 2015, </w:t>
            </w:r>
            <w:proofErr w:type="spellStart"/>
            <w:r>
              <w:rPr>
                <w:rFonts w:cs="Calibri"/>
              </w:rPr>
              <w:t>letn</w:t>
            </w:r>
            <w:proofErr w:type="spellEnd"/>
            <w:r>
              <w:rPr>
                <w:rFonts w:cs="Calibri"/>
              </w:rPr>
              <w:t>. 82, št. 4, str. 183-190.</w:t>
            </w:r>
          </w:p>
        </w:tc>
      </w:tr>
    </w:tbl>
    <w:p w:rsidR="00726226" w:rsidRDefault="00726226"/>
    <w:sectPr w:rsidR="00726226">
      <w:pgSz w:w="11906" w:h="16838"/>
      <w:pgMar w:top="1417" w:right="1417" w:bottom="1417" w:left="1417"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226"/>
    <w:rsid w:val="0002545D"/>
    <w:rsid w:val="005A542B"/>
    <w:rsid w:val="00726226"/>
    <w:rsid w:val="00962845"/>
    <w:rsid w:val="009D310A"/>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sl-SI"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line="240" w:lineRule="auto"/>
    </w:pPr>
    <w:rPr>
      <w:rFonts w:cs="Times New Roman"/>
      <w:sz w:val="24"/>
      <w:szCs w:val="24"/>
      <w:lang w:eastAsia="sl-SI"/>
    </w:rPr>
  </w:style>
  <w:style w:type="paragraph" w:styleId="Heading1">
    <w:name w:val="heading 1"/>
    <w:basedOn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0C3302"/>
    <w:rPr>
      <w:rFonts w:asciiTheme="majorHAnsi" w:eastAsiaTheme="majorEastAsia" w:hAnsiTheme="majorHAnsi" w:cstheme="majorBidi"/>
      <w:color w:val="365F91" w:themeColor="accent1" w:themeShade="BF"/>
      <w:sz w:val="32"/>
      <w:szCs w:val="32"/>
      <w:lang w:eastAsia="sl-SI"/>
    </w:rPr>
  </w:style>
  <w:style w:type="character" w:customStyle="1" w:styleId="BalloonTextChar">
    <w:name w:val="Balloon Text Char"/>
    <w:basedOn w:val="DefaultParagraphFont"/>
    <w:link w:val="BalloonText"/>
    <w:uiPriority w:val="99"/>
    <w:semiHidden/>
    <w:qFormat/>
    <w:rsid w:val="001A7BE7"/>
    <w:rPr>
      <w:rFonts w:ascii="Segoe UI" w:eastAsia="Calibri" w:hAnsi="Segoe UI" w:cs="Segoe UI"/>
      <w:sz w:val="18"/>
      <w:szCs w:val="18"/>
      <w:lang w:eastAsia="sl-SI"/>
    </w:rPr>
  </w:style>
  <w:style w:type="character" w:customStyle="1" w:styleId="hps">
    <w:name w:val="hps"/>
    <w:basedOn w:val="DefaultParagraphFont"/>
    <w:qFormat/>
    <w:rsid w:val="000926BB"/>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NoSpacing">
    <w:name w:val="No Spacing"/>
    <w:uiPriority w:val="1"/>
    <w:qFormat/>
    <w:rsid w:val="00CB7384"/>
    <w:pPr>
      <w:spacing w:line="240" w:lineRule="auto"/>
    </w:pPr>
    <w:rPr>
      <w:rFonts w:cs="Times New Roman"/>
      <w:sz w:val="24"/>
      <w:szCs w:val="24"/>
      <w:lang w:eastAsia="sl-SI"/>
    </w:rPr>
  </w:style>
  <w:style w:type="paragraph" w:styleId="BalloonText">
    <w:name w:val="Balloon Text"/>
    <w:basedOn w:val="Normal"/>
    <w:link w:val="BalloonTextChar"/>
    <w:uiPriority w:val="99"/>
    <w:semiHidden/>
    <w:unhideWhenUsed/>
    <w:qFormat/>
    <w:rsid w:val="001A7BE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sl-SI"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line="240" w:lineRule="auto"/>
    </w:pPr>
    <w:rPr>
      <w:rFonts w:cs="Times New Roman"/>
      <w:sz w:val="24"/>
      <w:szCs w:val="24"/>
      <w:lang w:eastAsia="sl-SI"/>
    </w:rPr>
  </w:style>
  <w:style w:type="paragraph" w:styleId="Heading1">
    <w:name w:val="heading 1"/>
    <w:basedOn w:val="Normal"/>
    <w:link w:val="Heading1Char"/>
    <w:uiPriority w:val="9"/>
    <w:qFormat/>
    <w:rsid w:val="000C330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0C3302"/>
    <w:rPr>
      <w:rFonts w:asciiTheme="majorHAnsi" w:eastAsiaTheme="majorEastAsia" w:hAnsiTheme="majorHAnsi" w:cstheme="majorBidi"/>
      <w:color w:val="365F91" w:themeColor="accent1" w:themeShade="BF"/>
      <w:sz w:val="32"/>
      <w:szCs w:val="32"/>
      <w:lang w:eastAsia="sl-SI"/>
    </w:rPr>
  </w:style>
  <w:style w:type="character" w:customStyle="1" w:styleId="BalloonTextChar">
    <w:name w:val="Balloon Text Char"/>
    <w:basedOn w:val="DefaultParagraphFont"/>
    <w:link w:val="BalloonText"/>
    <w:uiPriority w:val="99"/>
    <w:semiHidden/>
    <w:qFormat/>
    <w:rsid w:val="001A7BE7"/>
    <w:rPr>
      <w:rFonts w:ascii="Segoe UI" w:eastAsia="Calibri" w:hAnsi="Segoe UI" w:cs="Segoe UI"/>
      <w:sz w:val="18"/>
      <w:szCs w:val="18"/>
      <w:lang w:eastAsia="sl-SI"/>
    </w:rPr>
  </w:style>
  <w:style w:type="character" w:customStyle="1" w:styleId="hps">
    <w:name w:val="hps"/>
    <w:basedOn w:val="DefaultParagraphFont"/>
    <w:qFormat/>
    <w:rsid w:val="000926BB"/>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NoSpacing">
    <w:name w:val="No Spacing"/>
    <w:uiPriority w:val="1"/>
    <w:qFormat/>
    <w:rsid w:val="00CB7384"/>
    <w:pPr>
      <w:spacing w:line="240" w:lineRule="auto"/>
    </w:pPr>
    <w:rPr>
      <w:rFonts w:cs="Times New Roman"/>
      <w:sz w:val="24"/>
      <w:szCs w:val="24"/>
      <w:lang w:eastAsia="sl-SI"/>
    </w:rPr>
  </w:style>
  <w:style w:type="paragraph" w:styleId="BalloonText">
    <w:name w:val="Balloon Text"/>
    <w:basedOn w:val="Normal"/>
    <w:link w:val="BalloonTextChar"/>
    <w:uiPriority w:val="99"/>
    <w:semiHidden/>
    <w:unhideWhenUsed/>
    <w:qFormat/>
    <w:rsid w:val="001A7B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182C-A23B-4619-8BAA-135082D5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5</cp:revision>
  <dcterms:created xsi:type="dcterms:W3CDTF">2016-05-30T13:26:00Z</dcterms:created>
  <dcterms:modified xsi:type="dcterms:W3CDTF">2016-06-03T10:52:00Z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