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09"/>
        <w:gridCol w:w="230"/>
        <w:gridCol w:w="158"/>
        <w:gridCol w:w="1021"/>
        <w:gridCol w:w="487"/>
        <w:gridCol w:w="577"/>
        <w:gridCol w:w="354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70"/>
      </w:tblGrid>
      <w:tr w:rsidR="00D60066" w:rsidTr="00D62861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562D5E">
        <w:tc>
          <w:tcPr>
            <w:tcW w:w="1797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8A1166">
            <w:pPr>
              <w:rPr>
                <w:rFonts w:cs="Calibri"/>
              </w:rPr>
            </w:pPr>
            <w:bookmarkStart w:id="0" w:name="Predmet"/>
            <w:bookmarkEnd w:id="0"/>
            <w:r>
              <w:t>Komunikacijska elektronika</w:t>
            </w:r>
          </w:p>
        </w:tc>
      </w:tr>
      <w:tr w:rsidR="00D60066" w:rsidTr="00562D5E">
        <w:tc>
          <w:tcPr>
            <w:tcW w:w="1797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Course title:</w:t>
            </w:r>
          </w:p>
        </w:tc>
        <w:tc>
          <w:tcPr>
            <w:tcW w:w="7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8A1166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>Communication electronics</w:t>
            </w:r>
          </w:p>
        </w:tc>
      </w:tr>
      <w:tr w:rsidR="00D60066" w:rsidTr="00562D5E">
        <w:tc>
          <w:tcPr>
            <w:tcW w:w="3305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562D5E">
        <w:tc>
          <w:tcPr>
            <w:tcW w:w="33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Academic year</w:t>
            </w: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562D5E" w:rsidTr="00562D5E">
        <w:trPr>
          <w:trHeight w:val="318"/>
        </w:trPr>
        <w:tc>
          <w:tcPr>
            <w:tcW w:w="3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81959" w:rsidRDefault="00562D5E" w:rsidP="00562D5E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A26AC" w:rsidRDefault="00562D5E" w:rsidP="00562D5E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FF5559" w:rsidRDefault="00562D5E" w:rsidP="00562D5E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FF5559" w:rsidRDefault="00562D5E" w:rsidP="00562D5E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62D5E" w:rsidTr="00562D5E">
        <w:trPr>
          <w:trHeight w:val="318"/>
        </w:trPr>
        <w:tc>
          <w:tcPr>
            <w:tcW w:w="3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Default="00562D5E" w:rsidP="00562D5E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7C51FA" w:rsidRDefault="00562D5E" w:rsidP="00562D5E">
            <w:pPr>
              <w:jc w:val="center"/>
              <w:rPr>
                <w:rFonts w:asciiTheme="minorHAnsi" w:hAnsiTheme="minorHAnsi" w:cs="Calibri"/>
                <w:bCs/>
              </w:rPr>
            </w:pPr>
            <w:r w:rsidRPr="007C51FA">
              <w:rPr>
                <w:rFonts w:asciiTheme="minorHAnsi" w:hAnsiTheme="minorHAnsi" w:cs="Calibri"/>
                <w:bCs/>
              </w:rPr>
              <w:t>All s</w:t>
            </w:r>
            <w:r w:rsidRPr="007C51FA">
              <w:rPr>
                <w:rFonts w:cs="Calibri"/>
                <w:szCs w:val="22"/>
              </w:rPr>
              <w:t>tudy fields</w:t>
            </w:r>
            <w:r w:rsidRPr="007C51FA">
              <w:rPr>
                <w:rFonts w:asciiTheme="minorHAnsi" w:hAnsiTheme="minorHAnsi" w:cs="Calibri"/>
                <w:bCs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FF5559" w:rsidRDefault="00562D5E" w:rsidP="00562D5E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6D3970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FF5559" w:rsidRDefault="00562D5E" w:rsidP="00562D5E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62D5E" w:rsidTr="00D62861">
        <w:trPr>
          <w:trHeight w:val="103"/>
        </w:trPr>
        <w:tc>
          <w:tcPr>
            <w:tcW w:w="9690" w:type="dxa"/>
            <w:gridSpan w:val="18"/>
          </w:tcPr>
          <w:p w:rsidR="00562D5E" w:rsidRDefault="00562D5E" w:rsidP="00562D5E">
            <w:pPr>
              <w:rPr>
                <w:rFonts w:cs="Calibri"/>
                <w:b/>
                <w:bCs/>
              </w:rPr>
            </w:pPr>
          </w:p>
        </w:tc>
      </w:tr>
      <w:tr w:rsidR="00562D5E" w:rsidTr="00562D5E">
        <w:tc>
          <w:tcPr>
            <w:tcW w:w="571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562D5E" w:rsidP="009631CC">
            <w:pPr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Izbirni-splošni</w:t>
            </w:r>
            <w:proofErr w:type="spellEnd"/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 xml:space="preserve">elective general </w:t>
            </w:r>
          </w:p>
        </w:tc>
      </w:tr>
      <w:tr w:rsidR="00562D5E" w:rsidTr="00562D5E">
        <w:tc>
          <w:tcPr>
            <w:tcW w:w="5716" w:type="dxa"/>
            <w:gridSpan w:val="12"/>
          </w:tcPr>
          <w:p w:rsidR="00562D5E" w:rsidRDefault="00562D5E" w:rsidP="00562D5E">
            <w:pPr>
              <w:rPr>
                <w:rFonts w:cs="Calibri"/>
                <w:b/>
              </w:rPr>
            </w:pP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2D5E" w:rsidRDefault="00562D5E" w:rsidP="00562D5E">
            <w:pPr>
              <w:rPr>
                <w:rFonts w:cs="Calibri"/>
              </w:rPr>
            </w:pPr>
          </w:p>
        </w:tc>
      </w:tr>
      <w:tr w:rsidR="00562D5E" w:rsidTr="00562D5E">
        <w:tc>
          <w:tcPr>
            <w:tcW w:w="571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562D5E" w:rsidP="00562D5E">
            <w:pPr>
              <w:rPr>
                <w:rFonts w:cs="Calibri"/>
              </w:rPr>
            </w:pPr>
            <w:r>
              <w:rPr>
                <w:rFonts w:cs="Calibri"/>
              </w:rPr>
              <w:t>64311</w:t>
            </w:r>
          </w:p>
        </w:tc>
      </w:tr>
      <w:tr w:rsidR="00562D5E" w:rsidTr="00D62861">
        <w:tc>
          <w:tcPr>
            <w:tcW w:w="9690" w:type="dxa"/>
            <w:gridSpan w:val="18"/>
          </w:tcPr>
          <w:p w:rsidR="00562D5E" w:rsidRDefault="00562D5E" w:rsidP="00562D5E">
            <w:pPr>
              <w:rPr>
                <w:rFonts w:cs="Calibri"/>
              </w:rPr>
            </w:pPr>
          </w:p>
        </w:tc>
      </w:tr>
      <w:tr w:rsidR="00562D5E" w:rsidTr="00562D5E"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562D5E" w:rsidRDefault="00562D5E" w:rsidP="00562D5E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562D5E" w:rsidRDefault="00562D5E" w:rsidP="00562D5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2D5E" w:rsidRDefault="00562D5E" w:rsidP="00562D5E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562D5E" w:rsidTr="00562D5E">
        <w:trPr>
          <w:trHeight w:val="318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Default="00562D5E" w:rsidP="00562D5E">
            <w:pPr>
              <w:jc w:val="center"/>
              <w:rPr>
                <w:rFonts w:cs="Calibri"/>
                <w:b/>
                <w:bCs/>
              </w:rPr>
            </w:pPr>
            <w:r>
              <w:t>45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31E61" w:rsidRDefault="00562D5E" w:rsidP="00562D5E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31E61" w:rsidRDefault="00562D5E" w:rsidP="00562D5E">
            <w:pPr>
              <w:jc w:val="center"/>
              <w:rPr>
                <w:rFonts w:cs="Calibri"/>
                <w:bCs/>
              </w:rPr>
            </w:pPr>
            <w:r w:rsidRPr="00D31E61"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31E61" w:rsidRDefault="00562D5E" w:rsidP="00562D5E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31E61" w:rsidRDefault="00562D5E" w:rsidP="00562D5E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31E61" w:rsidRDefault="00562D5E" w:rsidP="00562D5E">
            <w:pPr>
              <w:jc w:val="center"/>
              <w:rPr>
                <w:rFonts w:cs="Calibri"/>
                <w:bCs/>
              </w:rPr>
            </w:pPr>
            <w:r w:rsidRPr="00D31E61">
              <w:rPr>
                <w:rFonts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2D5E" w:rsidRPr="00D31E61" w:rsidRDefault="00562D5E" w:rsidP="00562D5E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D5E" w:rsidRPr="00D31E61" w:rsidRDefault="00562D5E" w:rsidP="00562D5E">
            <w:pPr>
              <w:jc w:val="center"/>
              <w:rPr>
                <w:rFonts w:cs="Calibri"/>
                <w:bCs/>
              </w:rPr>
            </w:pPr>
            <w:r w:rsidRPr="00D31E61">
              <w:rPr>
                <w:rFonts w:cs="Calibri"/>
                <w:bCs/>
              </w:rPr>
              <w:t>6</w:t>
            </w:r>
          </w:p>
        </w:tc>
      </w:tr>
      <w:tr w:rsidR="00562D5E" w:rsidTr="00D62861">
        <w:tc>
          <w:tcPr>
            <w:tcW w:w="9690" w:type="dxa"/>
            <w:gridSpan w:val="18"/>
          </w:tcPr>
          <w:p w:rsidR="00562D5E" w:rsidRDefault="00562D5E" w:rsidP="00562D5E">
            <w:pPr>
              <w:rPr>
                <w:rFonts w:cs="Calibri"/>
                <w:b/>
                <w:bCs/>
              </w:rPr>
            </w:pPr>
          </w:p>
        </w:tc>
      </w:tr>
      <w:tr w:rsidR="00562D5E" w:rsidTr="00562D5E">
        <w:tc>
          <w:tcPr>
            <w:tcW w:w="3305" w:type="dxa"/>
            <w:gridSpan w:val="5"/>
            <w:hideMark/>
          </w:tcPr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562D5E" w:rsidP="00562D5E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Matej Zajc</w:t>
            </w:r>
          </w:p>
        </w:tc>
      </w:tr>
      <w:tr w:rsidR="00562D5E" w:rsidTr="00D62861">
        <w:tc>
          <w:tcPr>
            <w:tcW w:w="9690" w:type="dxa"/>
            <w:gridSpan w:val="18"/>
          </w:tcPr>
          <w:p w:rsidR="00562D5E" w:rsidRDefault="00562D5E" w:rsidP="00562D5E">
            <w:pPr>
              <w:jc w:val="both"/>
              <w:rPr>
                <w:rFonts w:cs="Calibri"/>
              </w:rPr>
            </w:pPr>
          </w:p>
        </w:tc>
      </w:tr>
      <w:tr w:rsidR="00562D5E" w:rsidTr="00562D5E">
        <w:tc>
          <w:tcPr>
            <w:tcW w:w="1639" w:type="dxa"/>
            <w:gridSpan w:val="2"/>
            <w:vMerge w:val="restart"/>
            <w:hideMark/>
          </w:tcPr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562D5E" w:rsidRDefault="00562D5E" w:rsidP="00562D5E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 xml:space="preserve">Languages: </w:t>
            </w:r>
          </w:p>
        </w:tc>
        <w:tc>
          <w:tcPr>
            <w:tcW w:w="2243" w:type="dxa"/>
            <w:gridSpan w:val="4"/>
            <w:hideMark/>
          </w:tcPr>
          <w:p w:rsidR="00562D5E" w:rsidRDefault="00562D5E" w:rsidP="00562D5E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D31E61" w:rsidP="00562D5E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562D5E" w:rsidTr="00562D5E">
        <w:trPr>
          <w:trHeight w:val="215"/>
        </w:trPr>
        <w:tc>
          <w:tcPr>
            <w:tcW w:w="1639" w:type="dxa"/>
            <w:gridSpan w:val="2"/>
            <w:vMerge/>
            <w:vAlign w:val="center"/>
            <w:hideMark/>
          </w:tcPr>
          <w:p w:rsidR="00562D5E" w:rsidRDefault="00562D5E" w:rsidP="00562D5E">
            <w:pPr>
              <w:rPr>
                <w:rFonts w:cs="Calibri"/>
              </w:rPr>
            </w:pPr>
          </w:p>
        </w:tc>
        <w:tc>
          <w:tcPr>
            <w:tcW w:w="2243" w:type="dxa"/>
            <w:gridSpan w:val="4"/>
            <w:hideMark/>
          </w:tcPr>
          <w:p w:rsidR="00562D5E" w:rsidRDefault="00562D5E" w:rsidP="00562D5E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D31E61" w:rsidP="00562D5E">
            <w:pPr>
              <w:jc w:val="both"/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  <w:bookmarkStart w:id="5" w:name="_GoBack"/>
            <w:bookmarkEnd w:id="5"/>
          </w:p>
        </w:tc>
      </w:tr>
      <w:tr w:rsidR="00562D5E" w:rsidTr="00562D5E">
        <w:tc>
          <w:tcPr>
            <w:tcW w:w="47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5E" w:rsidRDefault="00562D5E" w:rsidP="00562D5E">
            <w:pPr>
              <w:rPr>
                <w:rFonts w:cs="Calibri"/>
                <w:b/>
                <w:bCs/>
              </w:rPr>
            </w:pPr>
          </w:p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562D5E" w:rsidRDefault="00562D5E" w:rsidP="00562D5E">
            <w:pPr>
              <w:rPr>
                <w:rFonts w:cs="Calibri"/>
                <w:b/>
              </w:rPr>
            </w:pPr>
          </w:p>
          <w:p w:rsidR="00562D5E" w:rsidRDefault="00562D5E" w:rsidP="00562D5E">
            <w:pPr>
              <w:rPr>
                <w:rFonts w:cs="Calibri"/>
                <w:b/>
              </w:rPr>
            </w:pPr>
          </w:p>
        </w:tc>
        <w:tc>
          <w:tcPr>
            <w:tcW w:w="48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5E" w:rsidRDefault="00562D5E" w:rsidP="00562D5E">
            <w:pPr>
              <w:rPr>
                <w:rFonts w:cs="Calibri"/>
                <w:b/>
              </w:rPr>
            </w:pPr>
          </w:p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562D5E" w:rsidTr="00562D5E">
        <w:trPr>
          <w:trHeight w:val="2665"/>
        </w:trPr>
        <w:tc>
          <w:tcPr>
            <w:tcW w:w="47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562D5E" w:rsidP="00562D5E">
            <w:pPr>
              <w:rPr>
                <w:rFonts w:cs="Calibri"/>
              </w:rPr>
            </w:pPr>
            <w:r>
              <w:t>Vpis v letnik</w:t>
            </w:r>
            <w:r w:rsidR="00C2129C">
              <w:t xml:space="preserve">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D5E" w:rsidRDefault="00562D5E" w:rsidP="00562D5E">
            <w:pPr>
              <w:rPr>
                <w:rFonts w:cs="Calibri"/>
              </w:rPr>
            </w:pPr>
          </w:p>
        </w:tc>
        <w:tc>
          <w:tcPr>
            <w:tcW w:w="4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C2129C" w:rsidP="00562D5E">
            <w:pPr>
              <w:rPr>
                <w:rFonts w:cs="Calibri"/>
              </w:rPr>
            </w:pPr>
            <w:r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562D5E" w:rsidTr="00562D5E">
        <w:trPr>
          <w:trHeight w:val="137"/>
        </w:trPr>
        <w:tc>
          <w:tcPr>
            <w:tcW w:w="47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5E" w:rsidRDefault="00562D5E" w:rsidP="00562D5E">
            <w:pPr>
              <w:rPr>
                <w:rFonts w:cs="Calibri"/>
                <w:b/>
              </w:rPr>
            </w:pPr>
          </w:p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562D5E" w:rsidRDefault="00562D5E" w:rsidP="00562D5E">
            <w:pPr>
              <w:rPr>
                <w:rFonts w:cs="Calibri"/>
                <w:b/>
              </w:rPr>
            </w:pPr>
          </w:p>
        </w:tc>
        <w:tc>
          <w:tcPr>
            <w:tcW w:w="48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2D5E" w:rsidRDefault="00562D5E" w:rsidP="00562D5E">
            <w:pPr>
              <w:rPr>
                <w:rFonts w:cs="Calibri"/>
                <w:b/>
              </w:rPr>
            </w:pPr>
          </w:p>
          <w:p w:rsidR="00562D5E" w:rsidRDefault="00562D5E" w:rsidP="00562D5E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Content (Syllabus outline):</w:t>
            </w:r>
          </w:p>
        </w:tc>
      </w:tr>
      <w:tr w:rsidR="00562D5E" w:rsidTr="00562D5E">
        <w:trPr>
          <w:trHeight w:val="2665"/>
        </w:trPr>
        <w:tc>
          <w:tcPr>
            <w:tcW w:w="4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Default="00562D5E" w:rsidP="007D0F9C">
            <w:pPr>
              <w:rPr>
                <w:rFonts w:cs="Calibri"/>
              </w:rPr>
            </w:pPr>
            <w:r w:rsidRPr="00E24890">
              <w:lastRenderedPageBreak/>
              <w:t>Analogni gradniki elektronskih komunikacijskih vezij, tehnologije izdelave analognih vezij</w:t>
            </w:r>
            <w:r w:rsidR="00401C4C">
              <w:t>: ojačevalniki, filtri, analogno/digitalna pretvorba signala</w:t>
            </w:r>
            <w:r w:rsidRPr="00E24890">
              <w:t>. Gradniki digitalnih komunikacijskih vezij: namenski procesorji, programljive arhitekture, periferne enote, tehnologije izdelave digitalnih vezij. Gradniki komunikacijskih sistemov: zajem in obdelava signalov.</w:t>
            </w:r>
            <w:r>
              <w:t xml:space="preserve"> Uporabniška elektronika in vgrajeni sistemi: optimizacija porabe moči, življenjska doba produkta, optimizacija podsklopov in stopnja integracije </w:t>
            </w:r>
            <w:r w:rsidRPr="00B408E5">
              <w:t>ter vpliv na lastnosti vezij in ceno produkta</w:t>
            </w:r>
            <w:r>
              <w:t xml:space="preserve">. Telekomunikacijski sistemi: arhitekture komunikacijskih sistemov, strojna in programska oprema. Multimedijski sistemi: arhitekture multimedijskih sistemov, strojna in programska oprema, </w:t>
            </w:r>
            <w:r w:rsidRPr="00041084">
              <w:t>realizacija algoritmov digitalne obdelave signalov</w:t>
            </w:r>
            <w: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2D5E" w:rsidRDefault="00562D5E" w:rsidP="00562D5E">
            <w:pPr>
              <w:rPr>
                <w:rFonts w:cs="Calibri"/>
              </w:rPr>
            </w:pPr>
          </w:p>
        </w:tc>
        <w:tc>
          <w:tcPr>
            <w:tcW w:w="4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5E" w:rsidRPr="008F10ED" w:rsidRDefault="00562D5E" w:rsidP="007D0F9C">
            <w:pPr>
              <w:tabs>
                <w:tab w:val="left" w:pos="1391"/>
              </w:tabs>
              <w:rPr>
                <w:rFonts w:cs="Calibri"/>
                <w:lang w:val="en-GB"/>
              </w:rPr>
            </w:pPr>
            <w:r w:rsidRPr="008F10ED">
              <w:rPr>
                <w:rFonts w:cs="Calibri"/>
                <w:lang w:val="en-GB"/>
              </w:rPr>
              <w:t>Analog components of electronic communications ci</w:t>
            </w:r>
            <w:r>
              <w:rPr>
                <w:rFonts w:cs="Calibri"/>
                <w:lang w:val="en-GB"/>
              </w:rPr>
              <w:t>rcuits and manufacturing technologies</w:t>
            </w:r>
            <w:r w:rsidR="00401C4C">
              <w:rPr>
                <w:rFonts w:cs="Calibri"/>
                <w:lang w:val="en-GB"/>
              </w:rPr>
              <w:t xml:space="preserve">: amplifiers, filters, </w:t>
            </w:r>
            <w:r w:rsidR="00456C71">
              <w:rPr>
                <w:rFonts w:cs="Calibri"/>
                <w:lang w:val="en-GB"/>
              </w:rPr>
              <w:t>analogue</w:t>
            </w:r>
            <w:r w:rsidR="00401C4C">
              <w:rPr>
                <w:rFonts w:cs="Calibri"/>
                <w:lang w:val="en-GB"/>
              </w:rPr>
              <w:t xml:space="preserve">/digital </w:t>
            </w:r>
            <w:r w:rsidR="002E0A02">
              <w:rPr>
                <w:rFonts w:cs="Calibri"/>
                <w:lang w:val="en-GB"/>
              </w:rPr>
              <w:t xml:space="preserve">signal </w:t>
            </w:r>
            <w:r w:rsidR="00401C4C">
              <w:rPr>
                <w:rFonts w:cs="Calibri"/>
                <w:lang w:val="en-GB"/>
              </w:rPr>
              <w:t>conversion</w:t>
            </w:r>
            <w:r w:rsidRPr="008F10ED">
              <w:rPr>
                <w:rFonts w:cs="Calibri"/>
                <w:lang w:val="en-GB"/>
              </w:rPr>
              <w:t>. Digital components of communications systems: application specific pro</w:t>
            </w:r>
            <w:r>
              <w:rPr>
                <w:rFonts w:cs="Calibri"/>
                <w:lang w:val="en-GB"/>
              </w:rPr>
              <w:t>c</w:t>
            </w:r>
            <w:r w:rsidRPr="008F10ED">
              <w:rPr>
                <w:rFonts w:cs="Calibri"/>
                <w:lang w:val="en-GB"/>
              </w:rPr>
              <w:t>essors, programmable architectures, peripheral</w:t>
            </w:r>
            <w:r>
              <w:rPr>
                <w:rFonts w:cs="Calibri"/>
                <w:lang w:val="en-GB"/>
              </w:rPr>
              <w:t xml:space="preserve"> units and manufacturing technologies</w:t>
            </w:r>
            <w:r w:rsidRPr="008F10ED">
              <w:rPr>
                <w:rFonts w:cs="Calibri"/>
                <w:lang w:val="en-GB"/>
              </w:rPr>
              <w:t xml:space="preserve">. Components of communication systems: signal acquisition and processing. </w:t>
            </w:r>
            <w:r>
              <w:rPr>
                <w:rFonts w:cs="Calibri"/>
                <w:lang w:val="en-GB"/>
              </w:rPr>
              <w:t>Consumer electronics and embedded systems: optimized power consumption, product life cycle, sub-system optimization, level of integration and impact on features and costs. Communication systems: architecture of communications systems, hardware and software. Multimedia systems: multimedia systems’ architecture, hardware and software, algorithm design and implementation.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5D054A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5D054A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40" w:rsidRPr="00456C71" w:rsidRDefault="004E3440" w:rsidP="00456C71">
            <w:pPr>
              <w:pStyle w:val="ListParagraph"/>
              <w:numPr>
                <w:ilvl w:val="0"/>
                <w:numId w:val="3"/>
              </w:numPr>
              <w:ind w:left="370"/>
              <w:rPr>
                <w:rFonts w:cs="Calibri"/>
                <w:bCs/>
              </w:rPr>
            </w:pPr>
            <w:bookmarkStart w:id="6" w:name="Ucbeniki"/>
            <w:bookmarkEnd w:id="6"/>
            <w:r w:rsidRPr="00456C71">
              <w:rPr>
                <w:rFonts w:cs="Calibri"/>
                <w:bCs/>
              </w:rPr>
              <w:t>1.</w:t>
            </w:r>
            <w:r w:rsidR="009516E7" w:rsidRPr="00456C71">
              <w:rPr>
                <w:rFonts w:cs="Calibri"/>
                <w:bCs/>
              </w:rPr>
              <w:t xml:space="preserve">T.L.Floyd, Analog Fundamentals: a </w:t>
            </w:r>
            <w:proofErr w:type="spellStart"/>
            <w:r w:rsidR="009516E7" w:rsidRPr="00456C71">
              <w:rPr>
                <w:rFonts w:cs="Calibri"/>
                <w:bCs/>
              </w:rPr>
              <w:t>systems</w:t>
            </w:r>
            <w:proofErr w:type="spellEnd"/>
            <w:r w:rsidR="009516E7" w:rsidRPr="00456C71">
              <w:rPr>
                <w:rFonts w:cs="Calibri"/>
                <w:bCs/>
              </w:rPr>
              <w:t xml:space="preserve"> </w:t>
            </w:r>
            <w:proofErr w:type="spellStart"/>
            <w:r w:rsidR="009516E7" w:rsidRPr="00456C71">
              <w:rPr>
                <w:rFonts w:cs="Calibri"/>
                <w:bCs/>
              </w:rPr>
              <w:t>approach</w:t>
            </w:r>
            <w:proofErr w:type="spellEnd"/>
            <w:r w:rsidR="009516E7" w:rsidRPr="00456C71">
              <w:rPr>
                <w:rFonts w:cs="Calibri"/>
                <w:bCs/>
              </w:rPr>
              <w:t xml:space="preserve">, </w:t>
            </w:r>
            <w:proofErr w:type="spellStart"/>
            <w:r w:rsidR="009516E7" w:rsidRPr="00456C71">
              <w:rPr>
                <w:rFonts w:cs="Calibri"/>
                <w:bCs/>
              </w:rPr>
              <w:t>Pearson</w:t>
            </w:r>
            <w:proofErr w:type="spellEnd"/>
            <w:r w:rsidR="009516E7" w:rsidRPr="00456C71">
              <w:rPr>
                <w:rFonts w:cs="Calibri"/>
                <w:bCs/>
              </w:rPr>
              <w:t>, 2012.</w:t>
            </w:r>
          </w:p>
          <w:p w:rsidR="004E3440" w:rsidRPr="00456C71" w:rsidRDefault="00F7496A" w:rsidP="00456C71">
            <w:pPr>
              <w:pStyle w:val="ListParagraph"/>
              <w:numPr>
                <w:ilvl w:val="0"/>
                <w:numId w:val="3"/>
              </w:numPr>
              <w:ind w:left="370"/>
              <w:rPr>
                <w:rFonts w:cs="Calibri"/>
                <w:bCs/>
              </w:rPr>
            </w:pPr>
            <w:r w:rsidRPr="00456C71">
              <w:rPr>
                <w:rFonts w:cs="Calibri"/>
                <w:bCs/>
              </w:rPr>
              <w:t xml:space="preserve">R. Tokheim, Digital electronics: principles and applications, 8th edition, </w:t>
            </w:r>
            <w:r w:rsidR="009516E7" w:rsidRPr="00456C71">
              <w:rPr>
                <w:rFonts w:ascii="Arial" w:hAnsi="Arial" w:cs="Arial"/>
                <w:sz w:val="20"/>
                <w:szCs w:val="20"/>
              </w:rPr>
              <w:t xml:space="preserve">McGraw-Hill, </w:t>
            </w:r>
            <w:r w:rsidR="009516E7" w:rsidRPr="00456C71">
              <w:rPr>
                <w:rFonts w:cs="Calibri"/>
                <w:bCs/>
              </w:rPr>
              <w:t>2013.</w:t>
            </w:r>
          </w:p>
          <w:p w:rsidR="004E3440" w:rsidRPr="004E3440" w:rsidRDefault="004E3440" w:rsidP="004E3440">
            <w:pPr>
              <w:rPr>
                <w:rFonts w:cs="Calibri"/>
                <w:bCs/>
              </w:rPr>
            </w:pPr>
          </w:p>
          <w:p w:rsidR="00D60066" w:rsidRDefault="00D60066" w:rsidP="004E3440">
            <w:pPr>
              <w:rPr>
                <w:rFonts w:cs="Calibri"/>
                <w:b/>
                <w:bCs/>
              </w:rPr>
            </w:pPr>
          </w:p>
        </w:tc>
      </w:tr>
      <w:tr w:rsidR="00D60066" w:rsidTr="005D054A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5D054A">
        <w:trPr>
          <w:trHeight w:val="1838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737F39">
            <w:pPr>
              <w:rPr>
                <w:rFonts w:cs="Calibri"/>
              </w:rPr>
            </w:pPr>
            <w:r w:rsidRPr="00A03700">
              <w:t xml:space="preserve">Predmet poglobi razumevanje realizacije zajema, obdelave in prenosa signalov. </w:t>
            </w:r>
            <w:r>
              <w:t>Razumevanje delovanja</w:t>
            </w:r>
            <w:r w:rsidRPr="00C35837">
              <w:t xml:space="preserve"> analognih in digitalnih elektronskih vezij, ki se kot gradniki uporabljajo pri realizaciji v telekomunikacij</w:t>
            </w:r>
            <w:r>
              <w:t>skih in multimedijskih sistemih</w:t>
            </w:r>
            <w:r w:rsidRPr="00C35837">
              <w:t>.</w:t>
            </w:r>
            <w:r>
              <w:t xml:space="preserve"> </w:t>
            </w:r>
            <w:r w:rsidRPr="00A03700">
              <w:t xml:space="preserve">Seznanitev s stanjem na področju </w:t>
            </w:r>
            <w:r>
              <w:t>realizacije k</w:t>
            </w:r>
            <w:r w:rsidRPr="00A03700">
              <w:t>omunikacijskih vezij s poudarkom na tehnološki izvedljivosti, ekonomski upravičenosti in tehnoloških trendih.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71B7B" w:rsidRDefault="004C5D4D" w:rsidP="008A45E3">
            <w:pPr>
              <w:rPr>
                <w:rFonts w:cs="Calibri"/>
                <w:lang w:val="en-GB"/>
              </w:rPr>
            </w:pPr>
            <w:r w:rsidRPr="00671B7B">
              <w:rPr>
                <w:rFonts w:cs="Calibri"/>
                <w:lang w:val="en-GB"/>
              </w:rPr>
              <w:t xml:space="preserve">The main objective of the course is to deepen the understanding of </w:t>
            </w:r>
            <w:r w:rsidR="00B84C38">
              <w:rPr>
                <w:rFonts w:cs="Calibri"/>
                <w:lang w:val="en-GB"/>
              </w:rPr>
              <w:t xml:space="preserve">circuits for </w:t>
            </w:r>
            <w:r w:rsidRPr="00671B7B">
              <w:rPr>
                <w:rFonts w:cs="Calibri"/>
                <w:lang w:val="en-GB"/>
              </w:rPr>
              <w:t xml:space="preserve">signal acquisition, processing and transmission. Understanding of </w:t>
            </w:r>
            <w:r w:rsidR="00456C71" w:rsidRPr="00671B7B">
              <w:rPr>
                <w:rFonts w:cs="Calibri"/>
                <w:lang w:val="en-GB"/>
              </w:rPr>
              <w:t>analogue</w:t>
            </w:r>
            <w:r w:rsidRPr="00671B7B">
              <w:rPr>
                <w:rFonts w:cs="Calibri"/>
                <w:lang w:val="en-GB"/>
              </w:rPr>
              <w:t xml:space="preserve"> and digital electronic circuits and their application in communication and multimedia systems. Modern communication electronics state of the art, technological </w:t>
            </w:r>
            <w:r w:rsidR="008A45E3">
              <w:rPr>
                <w:rFonts w:cs="Calibri"/>
                <w:lang w:val="en-GB"/>
              </w:rPr>
              <w:t xml:space="preserve">and </w:t>
            </w:r>
            <w:r w:rsidR="008A45E3" w:rsidRPr="00671B7B">
              <w:rPr>
                <w:rFonts w:cs="Calibri"/>
                <w:lang w:val="en-GB"/>
              </w:rPr>
              <w:t xml:space="preserve">economic </w:t>
            </w:r>
            <w:r w:rsidRPr="00671B7B">
              <w:rPr>
                <w:rFonts w:cs="Calibri"/>
                <w:lang w:val="en-GB"/>
              </w:rPr>
              <w:t>feasibility, and technology trends.</w:t>
            </w:r>
          </w:p>
        </w:tc>
      </w:tr>
      <w:tr w:rsidR="00D60066" w:rsidTr="005D054A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Intended learning outcomes:</w:t>
            </w:r>
          </w:p>
        </w:tc>
      </w:tr>
      <w:tr w:rsidR="00D60066" w:rsidTr="005D054A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4E3440">
            <w:r>
              <w:t xml:space="preserve">Študent se seznani s pomembnejšimi analognimi in digitalnimi gradniki komunikacijske elektronike ter njihove funkcije v komunikacijskih in multimedijskih sistemih. </w:t>
            </w:r>
          </w:p>
          <w:p w:rsidR="004E3440" w:rsidRDefault="004E3440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E3417F">
            <w:pPr>
              <w:rPr>
                <w:rFonts w:cs="Calibri"/>
              </w:rPr>
            </w:pPr>
            <w:r>
              <w:rPr>
                <w:rFonts w:cs="Calibri"/>
              </w:rPr>
              <w:t>Students develop u</w:t>
            </w:r>
            <w:r w:rsidR="002A4E79">
              <w:rPr>
                <w:rFonts w:cs="Calibri"/>
              </w:rPr>
              <w:t xml:space="preserve">nderstanding </w:t>
            </w:r>
            <w:r>
              <w:rPr>
                <w:rFonts w:cs="Calibri"/>
              </w:rPr>
              <w:t xml:space="preserve">of </w:t>
            </w:r>
            <w:r w:rsidR="002A4E79">
              <w:rPr>
                <w:rFonts w:cs="Calibri"/>
              </w:rPr>
              <w:t xml:space="preserve">fundamental analog and digital communication electronics componets and its role in </w:t>
            </w:r>
            <w:r>
              <w:rPr>
                <w:rFonts w:cs="Calibri"/>
              </w:rPr>
              <w:t>tele</w:t>
            </w:r>
            <w:r w:rsidR="002A4E79">
              <w:rPr>
                <w:rFonts w:cs="Calibri"/>
              </w:rPr>
              <w:t xml:space="preserve">communication and multimedia systems. </w:t>
            </w:r>
          </w:p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5D054A">
        <w:trPr>
          <w:trHeight w:val="1417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5D054A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D60066" w:rsidTr="005D054A">
        <w:trPr>
          <w:trHeight w:val="2023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E223B">
            <w:pPr>
              <w:rPr>
                <w:rFonts w:cs="Calibri"/>
              </w:rPr>
            </w:pPr>
            <w:r w:rsidRPr="004B4E00">
              <w:rPr>
                <w:rFonts w:cs="Arial"/>
                <w:szCs w:val="22"/>
              </w:rPr>
              <w:t>Predavanja, praktični prikazi, avditorne in laboratorijske vaje</w:t>
            </w:r>
            <w:r w:rsidR="007D0F9C">
              <w:rPr>
                <w:rFonts w:cs="Arial"/>
                <w:szCs w:val="22"/>
              </w:rPr>
              <w:t xml:space="preserve"> ter projektno delo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E223B" w:rsidP="007D0F9C">
            <w:pPr>
              <w:rPr>
                <w:rFonts w:cs="Calibri"/>
              </w:rPr>
            </w:pPr>
            <w:r w:rsidRPr="004B4E00">
              <w:rPr>
                <w:rStyle w:val="hps"/>
              </w:rPr>
              <w:t>Lectures,</w:t>
            </w:r>
            <w:r w:rsidRPr="004B4E00">
              <w:rPr>
                <w:rStyle w:val="shorttext"/>
              </w:rPr>
              <w:t xml:space="preserve"> </w:t>
            </w:r>
            <w:r w:rsidRPr="004B4E00">
              <w:rPr>
                <w:rStyle w:val="hps"/>
              </w:rPr>
              <w:t>demonstrations</w:t>
            </w:r>
            <w:r w:rsidRPr="004B4E00">
              <w:rPr>
                <w:rStyle w:val="shorttext"/>
              </w:rPr>
              <w:t xml:space="preserve">, </w:t>
            </w:r>
            <w:r w:rsidRPr="004B4E00">
              <w:rPr>
                <w:rStyle w:val="hps"/>
              </w:rPr>
              <w:t>practical laboratory work</w:t>
            </w:r>
            <w:r w:rsidR="007D0F9C">
              <w:rPr>
                <w:rStyle w:val="hps"/>
              </w:rPr>
              <w:t xml:space="preserve"> and project assignment</w:t>
            </w:r>
            <w:r w:rsidRPr="004B4E00">
              <w:rPr>
                <w:rStyle w:val="shorttext"/>
              </w:rPr>
              <w:t>.</w:t>
            </w:r>
          </w:p>
        </w:tc>
      </w:tr>
      <w:tr w:rsidR="00D60066" w:rsidTr="005D054A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5D054A" w:rsidTr="005D054A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A" w:rsidRDefault="005D054A" w:rsidP="005D054A">
            <w:pPr>
              <w:rPr>
                <w:rFonts w:cs="Calibri"/>
              </w:rPr>
            </w:pPr>
            <w:r>
              <w:rPr>
                <w:rFonts w:cs="Calibri"/>
              </w:rPr>
              <w:t>Način: laboratorijske vaje, projekt, pisni izpit, ustni izpit.</w:t>
            </w:r>
          </w:p>
          <w:p w:rsidR="005D054A" w:rsidRDefault="005D054A" w:rsidP="005D054A">
            <w:r>
              <w:t>Ocene od 1 do vključno 5 so negativne, ocene od vključno 6 do 10 so pozitivne.</w:t>
            </w:r>
          </w:p>
          <w:p w:rsidR="005D054A" w:rsidRDefault="005D054A" w:rsidP="005D054A">
            <w:r>
              <w:t>Pozitivna ocena laboratorijskih vaj in domačih nalog je pogoj za pristop k izpitu.</w:t>
            </w:r>
          </w:p>
          <w:p w:rsidR="005D054A" w:rsidRDefault="005D054A" w:rsidP="005D054A"/>
          <w:p w:rsidR="005D054A" w:rsidRDefault="005D054A" w:rsidP="005D054A">
            <w:r>
              <w:t>Prispevki k oceni:</w:t>
            </w:r>
          </w:p>
          <w:p w:rsidR="005D054A" w:rsidRDefault="005D054A" w:rsidP="005D054A">
            <w:r>
              <w:t>laboratorijske vaje in projekt</w:t>
            </w:r>
          </w:p>
          <w:p w:rsidR="005D054A" w:rsidRDefault="005D054A" w:rsidP="005D054A">
            <w:r>
              <w:t>pisni izpit</w:t>
            </w:r>
          </w:p>
          <w:p w:rsidR="005D054A" w:rsidRPr="009C5581" w:rsidRDefault="005D054A" w:rsidP="005D054A">
            <w:pPr>
              <w:rPr>
                <w:rFonts w:cs="Arial"/>
              </w:rPr>
            </w:pPr>
            <w:r>
              <w:t>ustni izpit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054A" w:rsidRPr="00BC7A21" w:rsidRDefault="005D054A" w:rsidP="004C6D6E">
            <w:pPr>
              <w:jc w:val="center"/>
            </w:pPr>
            <w:r>
              <w:t>25%</w:t>
            </w:r>
          </w:p>
          <w:p w:rsidR="005D054A" w:rsidRPr="00BC7A21" w:rsidRDefault="005D054A" w:rsidP="004C6D6E">
            <w:pPr>
              <w:jc w:val="center"/>
            </w:pPr>
            <w:r>
              <w:t>5</w:t>
            </w:r>
            <w:r w:rsidRPr="00BC7A21">
              <w:t>0%</w:t>
            </w:r>
          </w:p>
          <w:p w:rsidR="005D054A" w:rsidRDefault="005D054A" w:rsidP="004C6D6E">
            <w:pPr>
              <w:jc w:val="center"/>
              <w:rPr>
                <w:rFonts w:cs="Calibri"/>
                <w:b/>
              </w:rPr>
            </w:pPr>
            <w:r>
              <w:t>25</w:t>
            </w:r>
            <w:r w:rsidRPr="00BC7A21"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4A" w:rsidRPr="0023428D" w:rsidRDefault="005D054A" w:rsidP="005D054A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Type: laboratory exercises, project, written exam, oral exam.</w:t>
            </w:r>
          </w:p>
          <w:p w:rsidR="005D054A" w:rsidRPr="0023428D" w:rsidRDefault="005D054A" w:rsidP="005D054A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5D054A" w:rsidRDefault="005D054A" w:rsidP="005D054A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laboratory exercises and </w:t>
            </w:r>
            <w:r>
              <w:rPr>
                <w:rFonts w:cs="Calibri"/>
                <w:lang w:val="en-GB"/>
              </w:rPr>
              <w:t>project</w:t>
            </w:r>
            <w:r w:rsidRPr="0023428D">
              <w:rPr>
                <w:rFonts w:cs="Calibri"/>
                <w:lang w:val="en-GB"/>
              </w:rPr>
              <w:t xml:space="preserve"> is a prerequisite for the exam.</w:t>
            </w:r>
          </w:p>
          <w:p w:rsidR="00D05502" w:rsidRPr="0023428D" w:rsidRDefault="00D05502" w:rsidP="005D054A">
            <w:pPr>
              <w:rPr>
                <w:rFonts w:cs="Calibri"/>
                <w:lang w:val="en-GB"/>
              </w:rPr>
            </w:pPr>
          </w:p>
          <w:p w:rsidR="005D054A" w:rsidRPr="0023428D" w:rsidRDefault="005D054A" w:rsidP="005D054A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Contributions to final grade:</w:t>
            </w:r>
          </w:p>
          <w:p w:rsidR="005D054A" w:rsidRPr="0023428D" w:rsidRDefault="005D054A" w:rsidP="005D054A">
            <w:pPr>
              <w:rPr>
                <w:lang w:val="en-GB"/>
              </w:rPr>
            </w:pPr>
            <w:r w:rsidRPr="0023428D">
              <w:rPr>
                <w:lang w:val="en-GB"/>
              </w:rPr>
              <w:t>laboratory exercises and project</w:t>
            </w:r>
          </w:p>
          <w:p w:rsidR="005D054A" w:rsidRPr="0023428D" w:rsidRDefault="005D054A" w:rsidP="005D054A">
            <w:pPr>
              <w:rPr>
                <w:lang w:val="en-GB"/>
              </w:rPr>
            </w:pPr>
            <w:r w:rsidRPr="0023428D">
              <w:rPr>
                <w:lang w:val="en-GB"/>
              </w:rPr>
              <w:t>written exam</w:t>
            </w:r>
          </w:p>
          <w:p w:rsidR="005D054A" w:rsidRDefault="005D054A" w:rsidP="005D054A">
            <w:pPr>
              <w:rPr>
                <w:rFonts w:cs="Calibri"/>
                <w:b/>
              </w:rPr>
            </w:pPr>
            <w:r w:rsidRPr="0023428D">
              <w:rPr>
                <w:lang w:val="en-GB"/>
              </w:rPr>
              <w:t>oral examination</w:t>
            </w:r>
          </w:p>
        </w:tc>
      </w:tr>
      <w:tr w:rsidR="005D054A" w:rsidTr="005D054A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54A" w:rsidRDefault="005D054A" w:rsidP="005D054A">
            <w:pPr>
              <w:rPr>
                <w:rFonts w:cs="Calibri"/>
                <w:b/>
              </w:rPr>
            </w:pPr>
          </w:p>
          <w:p w:rsidR="005D054A" w:rsidRDefault="005D054A" w:rsidP="005D054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5D054A" w:rsidTr="005D054A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4A" w:rsidRPr="004E3440" w:rsidRDefault="005D054A" w:rsidP="00456C71">
            <w:pPr>
              <w:pStyle w:val="ListParagraph"/>
              <w:numPr>
                <w:ilvl w:val="0"/>
                <w:numId w:val="1"/>
              </w:numPr>
              <w:ind w:left="511"/>
              <w:rPr>
                <w:rFonts w:cs="Calibri"/>
              </w:rPr>
            </w:pPr>
            <w:r>
              <w:t xml:space="preserve">PLESNIK, Emil, MALGINA, Olga, TASIČ, Jurij F., ZAJC, Matej. Detection of the electrocardiogram fiducial points in the phase space using the euclidian distance measure. </w:t>
            </w:r>
            <w:r w:rsidRPr="004E3440">
              <w:rPr>
                <w:i/>
                <w:iCs/>
              </w:rPr>
              <w:t>Med. eng. phys.</w:t>
            </w:r>
            <w:r>
              <w:t xml:space="preserve"> May 2012, vol. 34, no. 4, str. 524-529.</w:t>
            </w:r>
          </w:p>
          <w:p w:rsidR="005D054A" w:rsidRDefault="005D054A" w:rsidP="00456C71">
            <w:pPr>
              <w:pStyle w:val="ListParagraph"/>
              <w:numPr>
                <w:ilvl w:val="0"/>
                <w:numId w:val="1"/>
              </w:numPr>
              <w:ind w:left="511"/>
            </w:pPr>
            <w:r>
              <w:t xml:space="preserve">GOGIĆ, Asmir, MUJČIĆ, Aljo, ZAJC, Matej, SULJANOVIĆ, Nermin. Broadband PLC network cross-layer simulation in accordance with the IEEE P1901 standard. </w:t>
            </w:r>
            <w:r w:rsidRPr="004E3440">
              <w:rPr>
                <w:i/>
                <w:iCs/>
              </w:rPr>
              <w:t>Elektron. elektrotech.</w:t>
            </w:r>
            <w:r>
              <w:t xml:space="preserve"> 2013, vol. 19, no. 5, str. 83-88.</w:t>
            </w:r>
          </w:p>
          <w:p w:rsidR="00F649FF" w:rsidRDefault="00F649FF" w:rsidP="00456C71">
            <w:pPr>
              <w:pStyle w:val="ListParagraph"/>
              <w:numPr>
                <w:ilvl w:val="0"/>
                <w:numId w:val="1"/>
              </w:numPr>
              <w:ind w:left="511"/>
            </w:pPr>
            <w:r w:rsidRPr="00C61023">
              <w:t>GOGIĆ, Asmir, MUJČIĆ, Aljo, HAKKI ÇAVDAR, Ismail, ZAJC, Matej, SULJANOVIĆ, Nermin. Study of MAC routing in the BPLC P1901 access network : fixed vs. adaptive approach. Turkish journal of electrical engineering and com</w:t>
            </w:r>
            <w:r>
              <w:t>puter sciences</w:t>
            </w:r>
            <w:r w:rsidRPr="00C61023">
              <w:t>, 201</w:t>
            </w:r>
            <w:r>
              <w:t>5</w:t>
            </w:r>
            <w:r w:rsidRPr="00C61023">
              <w:t xml:space="preserve">, vol. </w:t>
            </w:r>
            <w:r>
              <w:t>23</w:t>
            </w:r>
            <w:r w:rsidRPr="00C61023">
              <w:t xml:space="preserve">, no. </w:t>
            </w:r>
            <w:r>
              <w:t>5</w:t>
            </w:r>
            <w:r w:rsidRPr="00C61023">
              <w:t xml:space="preserve">, str. </w:t>
            </w:r>
            <w:r w:rsidRPr="00A97AAE">
              <w:t>1447-1448</w:t>
            </w:r>
          </w:p>
          <w:p w:rsidR="005D054A" w:rsidRPr="004E3440" w:rsidRDefault="005D054A" w:rsidP="00456C71">
            <w:pPr>
              <w:pStyle w:val="ListParagraph"/>
              <w:numPr>
                <w:ilvl w:val="0"/>
                <w:numId w:val="1"/>
              </w:numPr>
              <w:ind w:left="511"/>
              <w:rPr>
                <w:rFonts w:cs="Calibri"/>
              </w:rPr>
            </w:pPr>
            <w:r>
              <w:t xml:space="preserve">FINKŠT, Tomaž, TASIČ, Jurij F., TERČELJ-ZORMAN, Marjeta, ZAJC, Matej. Autofluorescence bronchoscopy image processing in the selected colour spaces. </w:t>
            </w:r>
            <w:r w:rsidRPr="004E3440">
              <w:rPr>
                <w:i/>
                <w:iCs/>
              </w:rPr>
              <w:t>Stroj. vestn.</w:t>
            </w:r>
            <w:r>
              <w:t>, sep. 2012, vol. 58, no. 9, str. 501-508.</w:t>
            </w:r>
          </w:p>
          <w:p w:rsidR="005D054A" w:rsidRDefault="005D054A" w:rsidP="00456C71">
            <w:pPr>
              <w:pStyle w:val="ListParagraph"/>
              <w:numPr>
                <w:ilvl w:val="0"/>
                <w:numId w:val="1"/>
              </w:numPr>
              <w:ind w:left="511"/>
            </w:pPr>
            <w:r>
              <w:t xml:space="preserve">ZAJC, Matej, SULJANOVIĆ, Nermin, MUJČIĆ, Aljo, TASIČ, Jurij F. Frequency characteristics measurement of overhead high-voltage power-line in low radio-frequency range. </w:t>
            </w:r>
            <w:r w:rsidRPr="004E3440">
              <w:rPr>
                <w:i/>
                <w:iCs/>
              </w:rPr>
              <w:t xml:space="preserve">IEEE trans. power deliv. </w:t>
            </w:r>
            <w:r>
              <w:t>2007, vol. 22, no. 4, str. 2142-2149.</w:t>
            </w:r>
          </w:p>
          <w:p w:rsidR="005D054A" w:rsidRPr="004E3440" w:rsidRDefault="005D054A" w:rsidP="00456C71">
            <w:pPr>
              <w:pStyle w:val="ListParagraph"/>
              <w:rPr>
                <w:rFonts w:cs="Calibri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F2036"/>
    <w:multiLevelType w:val="hybridMultilevel"/>
    <w:tmpl w:val="C87E1F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559A0"/>
    <w:multiLevelType w:val="hybridMultilevel"/>
    <w:tmpl w:val="0B24D6D8"/>
    <w:lvl w:ilvl="0" w:tplc="C24EC9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334FE4"/>
    <w:multiLevelType w:val="hybridMultilevel"/>
    <w:tmpl w:val="29E8319A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60C33"/>
    <w:rsid w:val="000703E4"/>
    <w:rsid w:val="000E605D"/>
    <w:rsid w:val="001B60F1"/>
    <w:rsid w:val="002724BA"/>
    <w:rsid w:val="002A4E79"/>
    <w:rsid w:val="002E0A02"/>
    <w:rsid w:val="002F300A"/>
    <w:rsid w:val="0036360A"/>
    <w:rsid w:val="00383200"/>
    <w:rsid w:val="00401C4C"/>
    <w:rsid w:val="00456C71"/>
    <w:rsid w:val="00462750"/>
    <w:rsid w:val="004937EC"/>
    <w:rsid w:val="004C5D4D"/>
    <w:rsid w:val="004C6D6E"/>
    <w:rsid w:val="004D6761"/>
    <w:rsid w:val="004E3440"/>
    <w:rsid w:val="0050380E"/>
    <w:rsid w:val="0053523E"/>
    <w:rsid w:val="005428B3"/>
    <w:rsid w:val="00562D5E"/>
    <w:rsid w:val="005903BA"/>
    <w:rsid w:val="005D054A"/>
    <w:rsid w:val="006253E7"/>
    <w:rsid w:val="00671B7B"/>
    <w:rsid w:val="00737F39"/>
    <w:rsid w:val="007D0F9C"/>
    <w:rsid w:val="007E2EE6"/>
    <w:rsid w:val="0082408F"/>
    <w:rsid w:val="00824B7A"/>
    <w:rsid w:val="008568DD"/>
    <w:rsid w:val="008939AF"/>
    <w:rsid w:val="008A1166"/>
    <w:rsid w:val="008A45E3"/>
    <w:rsid w:val="008B67E4"/>
    <w:rsid w:val="008F10ED"/>
    <w:rsid w:val="008F5D20"/>
    <w:rsid w:val="009516E7"/>
    <w:rsid w:val="009631CC"/>
    <w:rsid w:val="00977638"/>
    <w:rsid w:val="009C5581"/>
    <w:rsid w:val="00A024F8"/>
    <w:rsid w:val="00A02BF5"/>
    <w:rsid w:val="00A97AAE"/>
    <w:rsid w:val="00AC507F"/>
    <w:rsid w:val="00B37024"/>
    <w:rsid w:val="00B408E5"/>
    <w:rsid w:val="00B84C38"/>
    <w:rsid w:val="00B86AD7"/>
    <w:rsid w:val="00BA1F90"/>
    <w:rsid w:val="00C16E51"/>
    <w:rsid w:val="00C2129C"/>
    <w:rsid w:val="00C61023"/>
    <w:rsid w:val="00CB11B0"/>
    <w:rsid w:val="00D05502"/>
    <w:rsid w:val="00D31E61"/>
    <w:rsid w:val="00D60066"/>
    <w:rsid w:val="00D62861"/>
    <w:rsid w:val="00DD0464"/>
    <w:rsid w:val="00DE223B"/>
    <w:rsid w:val="00DF4EA5"/>
    <w:rsid w:val="00DF72FD"/>
    <w:rsid w:val="00E3417F"/>
    <w:rsid w:val="00E86FE2"/>
    <w:rsid w:val="00E9643C"/>
    <w:rsid w:val="00EF7242"/>
    <w:rsid w:val="00F168F3"/>
    <w:rsid w:val="00F649FF"/>
    <w:rsid w:val="00F7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740AC-FDB2-469F-BD9F-26656846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7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3440"/>
    <w:pPr>
      <w:ind w:left="720"/>
      <w:contextualSpacing/>
    </w:pPr>
  </w:style>
  <w:style w:type="character" w:customStyle="1" w:styleId="shorttext">
    <w:name w:val="short_text"/>
    <w:basedOn w:val="DefaultParagraphFont"/>
    <w:rsid w:val="00DE223B"/>
  </w:style>
  <w:style w:type="character" w:customStyle="1" w:styleId="hps">
    <w:name w:val="hps"/>
    <w:basedOn w:val="DefaultParagraphFont"/>
    <w:rsid w:val="00DE223B"/>
  </w:style>
  <w:style w:type="paragraph" w:styleId="BalloonText">
    <w:name w:val="Balloon Text"/>
    <w:basedOn w:val="Normal"/>
    <w:link w:val="BalloonTextChar"/>
    <w:uiPriority w:val="99"/>
    <w:semiHidden/>
    <w:unhideWhenUsed/>
    <w:rsid w:val="005D05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54A"/>
    <w:rPr>
      <w:rFonts w:ascii="Segoe UI" w:eastAsia="Calibr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18</cp:revision>
  <cp:lastPrinted>2016-05-27T07:03:00Z</cp:lastPrinted>
  <dcterms:created xsi:type="dcterms:W3CDTF">2016-05-27T08:38:00Z</dcterms:created>
  <dcterms:modified xsi:type="dcterms:W3CDTF">2016-06-02T18:17:00Z</dcterms:modified>
</cp:coreProperties>
</file>