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617615">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Tr="00617615">
        <w:tc>
          <w:tcPr>
            <w:tcW w:w="1799" w:type="dxa"/>
            <w:gridSpan w:val="3"/>
            <w:hideMark/>
          </w:tcPr>
          <w:p w:rsidR="00D60066" w:rsidRDefault="00D60066">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Default="00617615" w:rsidP="00DC317C">
            <w:pPr>
              <w:rPr>
                <w:rFonts w:cs="Calibri"/>
              </w:rPr>
            </w:pPr>
            <w:bookmarkStart w:id="0" w:name="Predmet"/>
            <w:bookmarkEnd w:id="0"/>
            <w:r>
              <w:t>Seminar iz robotike in merjenj</w:t>
            </w:r>
          </w:p>
        </w:tc>
      </w:tr>
      <w:tr w:rsidR="00D60066" w:rsidTr="00617615">
        <w:tc>
          <w:tcPr>
            <w:tcW w:w="1799" w:type="dxa"/>
            <w:gridSpan w:val="3"/>
            <w:hideMark/>
          </w:tcPr>
          <w:p w:rsidR="00D60066" w:rsidRDefault="00D60066">
            <w:pPr>
              <w:rPr>
                <w:rFonts w:cs="Calibri"/>
                <w:b/>
              </w:rPr>
            </w:pPr>
            <w:proofErr w:type="spellStart"/>
            <w:r>
              <w:rPr>
                <w:rFonts w:cs="Calibri"/>
                <w:b/>
                <w:szCs w:val="22"/>
              </w:rPr>
              <w:t>Course</w:t>
            </w:r>
            <w:proofErr w:type="spellEnd"/>
            <w:r>
              <w:rPr>
                <w:rFonts w:cs="Calibri"/>
                <w:b/>
                <w:szCs w:val="22"/>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0C17E3" w:rsidRDefault="00617615" w:rsidP="00617615">
            <w:pPr>
              <w:rPr>
                <w:rFonts w:asciiTheme="minorHAnsi" w:hAnsiTheme="minorHAnsi" w:cs="Calibri"/>
              </w:rPr>
            </w:pPr>
            <w:bookmarkStart w:id="1" w:name="APredmet"/>
            <w:bookmarkEnd w:id="1"/>
            <w:r w:rsidRPr="000C17E3">
              <w:rPr>
                <w:rFonts w:asciiTheme="minorHAnsi" w:hAnsiTheme="minorHAnsi"/>
                <w:szCs w:val="22"/>
              </w:rPr>
              <w:t xml:space="preserve">Seminar: </w:t>
            </w:r>
            <w:r w:rsidRPr="00085EF1">
              <w:rPr>
                <w:rFonts w:asciiTheme="minorHAnsi" w:hAnsiTheme="minorHAnsi"/>
                <w:szCs w:val="22"/>
                <w:lang w:val="en-US"/>
              </w:rPr>
              <w:t>Robotics and Measurements</w:t>
            </w:r>
            <w:r w:rsidRPr="000C17E3">
              <w:rPr>
                <w:rFonts w:asciiTheme="minorHAnsi" w:hAnsiTheme="minorHAnsi" w:cs="Calibri"/>
              </w:rPr>
              <w:t xml:space="preserve"> </w:t>
            </w:r>
          </w:p>
        </w:tc>
      </w:tr>
      <w:tr w:rsidR="00D60066" w:rsidTr="00617615">
        <w:tc>
          <w:tcPr>
            <w:tcW w:w="3307" w:type="dxa"/>
            <w:gridSpan w:val="5"/>
            <w:vAlign w:val="center"/>
          </w:tcPr>
          <w:p w:rsidR="00D60066" w:rsidRDefault="00D60066">
            <w:pPr>
              <w:jc w:val="center"/>
              <w:rPr>
                <w:rFonts w:cs="Calibri"/>
                <w:b/>
              </w:rPr>
            </w:pPr>
          </w:p>
        </w:tc>
        <w:tc>
          <w:tcPr>
            <w:tcW w:w="3401" w:type="dxa"/>
            <w:gridSpan w:val="8"/>
            <w:vAlign w:val="center"/>
          </w:tcPr>
          <w:p w:rsidR="00D60066" w:rsidRDefault="00D60066">
            <w:pPr>
              <w:jc w:val="center"/>
              <w:rPr>
                <w:rFonts w:cs="Calibri"/>
                <w:b/>
              </w:rPr>
            </w:pPr>
          </w:p>
        </w:tc>
        <w:tc>
          <w:tcPr>
            <w:tcW w:w="1558" w:type="dxa"/>
            <w:gridSpan w:val="2"/>
            <w:vAlign w:val="center"/>
          </w:tcPr>
          <w:p w:rsidR="00D60066" w:rsidRDefault="00D60066">
            <w:pPr>
              <w:jc w:val="center"/>
              <w:rPr>
                <w:rFonts w:cs="Calibri"/>
                <w:b/>
              </w:rPr>
            </w:pPr>
          </w:p>
        </w:tc>
        <w:tc>
          <w:tcPr>
            <w:tcW w:w="1424" w:type="dxa"/>
            <w:gridSpan w:val="3"/>
            <w:vAlign w:val="center"/>
          </w:tcPr>
          <w:p w:rsidR="00D60066" w:rsidRDefault="00D60066">
            <w:pPr>
              <w:jc w:val="center"/>
              <w:rPr>
                <w:rFonts w:cs="Calibri"/>
                <w:b/>
              </w:rPr>
            </w:pPr>
          </w:p>
        </w:tc>
      </w:tr>
      <w:tr w:rsidR="00D60066" w:rsidTr="00617615">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617615" w:rsidTr="00617615">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17615" w:rsidRPr="00D81959" w:rsidRDefault="00617615" w:rsidP="00617615">
            <w:pPr>
              <w:jc w:val="center"/>
              <w:rPr>
                <w:rFonts w:cs="Calibri"/>
                <w:bCs/>
              </w:rPr>
            </w:pPr>
            <w:r w:rsidRPr="00D81959">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17615" w:rsidRPr="00DA26AC" w:rsidRDefault="00617615" w:rsidP="00617615">
            <w:pPr>
              <w:jc w:val="center"/>
              <w:rPr>
                <w:rFonts w:asciiTheme="minorHAnsi" w:hAnsiTheme="minorHAnsi" w:cs="Calibri"/>
                <w:bCs/>
              </w:rPr>
            </w:pPr>
            <w:r w:rsidRPr="00DA26AC">
              <w:rPr>
                <w:rFonts w:asciiTheme="minorHAnsi" w:hAnsiTheme="minorHAnsi" w:cs="Calibri"/>
                <w:bCs/>
              </w:rPr>
              <w:t>Robotika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17615" w:rsidRPr="00FF5559" w:rsidRDefault="00617615" w:rsidP="00617615">
            <w:pPr>
              <w:pStyle w:val="ListParagraph"/>
              <w:ind w:left="0"/>
              <w:jc w:val="center"/>
              <w:rPr>
                <w:rFonts w:asciiTheme="minorHAnsi" w:hAnsiTheme="minorHAnsi" w:cs="Calibri"/>
                <w:bCs/>
              </w:rPr>
            </w:pPr>
            <w:r>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17615" w:rsidRPr="00FF5559" w:rsidRDefault="00617615" w:rsidP="00617615">
            <w:pPr>
              <w:jc w:val="center"/>
              <w:rPr>
                <w:rFonts w:asciiTheme="minorHAnsi" w:hAnsiTheme="minorHAnsi" w:cs="Calibri"/>
                <w:bCs/>
                <w:color w:val="000000" w:themeColor="text1"/>
              </w:rPr>
            </w:pPr>
            <w:r>
              <w:rPr>
                <w:rFonts w:asciiTheme="minorHAnsi" w:hAnsiTheme="minorHAnsi" w:cs="Calibri"/>
                <w:bCs/>
                <w:color w:val="000000" w:themeColor="text1"/>
              </w:rPr>
              <w:t>1</w:t>
            </w:r>
          </w:p>
        </w:tc>
      </w:tr>
      <w:tr w:rsidR="00617615" w:rsidTr="00617615">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17615" w:rsidRDefault="00617615" w:rsidP="00617615">
            <w:pPr>
              <w:jc w:val="center"/>
              <w:rPr>
                <w:rFonts w:cs="Calibri"/>
                <w:b/>
                <w:bCs/>
              </w:rPr>
            </w:pPr>
            <w:r w:rsidRPr="00D81959">
              <w:rPr>
                <w:lang w:val="en-GB"/>
              </w:rPr>
              <w:t>2</w:t>
            </w:r>
            <w:r w:rsidRPr="00D81959">
              <w:rPr>
                <w:vertAlign w:val="superscript"/>
                <w:lang w:val="en-GB"/>
              </w:rPr>
              <w:t>nd</w:t>
            </w:r>
            <w:r w:rsidRPr="00D81959">
              <w:rPr>
                <w:lang w:val="en-GB"/>
              </w:rPr>
              <w:t xml:space="preserve"> cycle masters study </w:t>
            </w:r>
            <w:r w:rsidRPr="00D81959">
              <w:rPr>
                <w:noProof/>
                <w:lang w:val="en-GB"/>
              </w:rPr>
              <w:t xml:space="preserve">programme in </w:t>
            </w:r>
            <w:r>
              <w:rPr>
                <w:noProof/>
                <w:lang w:val="en-GB"/>
              </w:rPr>
              <w:t>E</w:t>
            </w:r>
            <w:r w:rsidRPr="00D81959">
              <w:rPr>
                <w:noProof/>
                <w:lang w:val="en-GB"/>
              </w:rPr>
              <w:t xml:space="preserve">lectrical </w:t>
            </w:r>
            <w:r>
              <w:rPr>
                <w:noProof/>
                <w:lang w:val="en-GB"/>
              </w:rPr>
              <w:t>E</w:t>
            </w:r>
            <w:r w:rsidRPr="00D81959">
              <w:rPr>
                <w:noProof/>
                <w:lang w:val="en-GB"/>
              </w:rPr>
              <w:t>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17615" w:rsidRPr="00DA26AC" w:rsidRDefault="00617615" w:rsidP="00617615">
            <w:pPr>
              <w:jc w:val="center"/>
              <w:rPr>
                <w:rFonts w:asciiTheme="minorHAnsi" w:hAnsiTheme="minorHAnsi" w:cs="Calibri"/>
                <w:bCs/>
              </w:rPr>
            </w:pPr>
            <w:proofErr w:type="spellStart"/>
            <w:r w:rsidRPr="00DA26AC">
              <w:rPr>
                <w:rFonts w:asciiTheme="minorHAnsi" w:hAnsiTheme="minorHAnsi" w:cs="Calibri"/>
                <w:bCs/>
              </w:rPr>
              <w:t>Robotics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17615" w:rsidRPr="00FF5559" w:rsidRDefault="00617615" w:rsidP="00617615">
            <w:pPr>
              <w:jc w:val="center"/>
              <w:rPr>
                <w:rFonts w:asciiTheme="minorHAnsi" w:hAnsiTheme="minorHAnsi" w:cs="Calibri"/>
                <w:bCs/>
                <w:highlight w:val="green"/>
              </w:rPr>
            </w:pPr>
            <w:r w:rsidRPr="006D3970">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17615" w:rsidRPr="00FF5559" w:rsidRDefault="00617615" w:rsidP="00617615">
            <w:pPr>
              <w:jc w:val="center"/>
              <w:rPr>
                <w:rFonts w:asciiTheme="minorHAnsi" w:hAnsiTheme="minorHAnsi" w:cs="Calibri"/>
                <w:bCs/>
                <w:color w:val="000000" w:themeColor="text1"/>
              </w:rPr>
            </w:pPr>
            <w:r>
              <w:rPr>
                <w:rFonts w:asciiTheme="minorHAnsi" w:hAnsiTheme="minorHAnsi" w:cs="Calibri"/>
                <w:bCs/>
                <w:color w:val="000000" w:themeColor="text1"/>
              </w:rPr>
              <w:t>1</w:t>
            </w:r>
          </w:p>
        </w:tc>
      </w:tr>
      <w:tr w:rsidR="00617615" w:rsidTr="00617615">
        <w:trPr>
          <w:trHeight w:val="103"/>
        </w:trPr>
        <w:tc>
          <w:tcPr>
            <w:tcW w:w="9690" w:type="dxa"/>
            <w:gridSpan w:val="18"/>
          </w:tcPr>
          <w:p w:rsidR="00617615" w:rsidRDefault="00617615" w:rsidP="00617615">
            <w:pPr>
              <w:rPr>
                <w:rFonts w:cs="Calibri"/>
                <w:b/>
                <w:bCs/>
              </w:rPr>
            </w:pPr>
          </w:p>
        </w:tc>
      </w:tr>
      <w:tr w:rsidR="00617615" w:rsidTr="00617615">
        <w:tc>
          <w:tcPr>
            <w:tcW w:w="5718" w:type="dxa"/>
            <w:gridSpan w:val="12"/>
            <w:tcBorders>
              <w:top w:val="nil"/>
              <w:left w:val="nil"/>
              <w:bottom w:val="nil"/>
              <w:right w:val="single" w:sz="4" w:space="0" w:color="auto"/>
            </w:tcBorders>
            <w:hideMark/>
          </w:tcPr>
          <w:p w:rsidR="00617615" w:rsidRDefault="00617615" w:rsidP="00617615">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617615" w:rsidRDefault="00617615" w:rsidP="00381D7B">
            <w:pPr>
              <w:rPr>
                <w:rFonts w:cs="Calibri"/>
              </w:rPr>
            </w:pPr>
            <w:r>
              <w:rPr>
                <w:rFonts w:cs="Calibri"/>
              </w:rPr>
              <w:t>Obvezni-strokovni /</w:t>
            </w:r>
            <w:r w:rsidRPr="00E867D3">
              <w:rPr>
                <w:bCs/>
                <w:lang w:val="en-GB"/>
              </w:rPr>
              <w:t xml:space="preserve"> Compulsory professional </w:t>
            </w:r>
          </w:p>
        </w:tc>
      </w:tr>
      <w:tr w:rsidR="00617615" w:rsidTr="00617615">
        <w:tc>
          <w:tcPr>
            <w:tcW w:w="5718" w:type="dxa"/>
            <w:gridSpan w:val="12"/>
          </w:tcPr>
          <w:p w:rsidR="00617615" w:rsidRDefault="00617615" w:rsidP="00617615">
            <w:pPr>
              <w:rPr>
                <w:rFonts w:cs="Calibri"/>
                <w:b/>
              </w:rPr>
            </w:pPr>
          </w:p>
        </w:tc>
        <w:tc>
          <w:tcPr>
            <w:tcW w:w="3972" w:type="dxa"/>
            <w:gridSpan w:val="6"/>
            <w:tcBorders>
              <w:top w:val="single" w:sz="4" w:space="0" w:color="auto"/>
              <w:left w:val="nil"/>
              <w:bottom w:val="single" w:sz="4" w:space="0" w:color="auto"/>
              <w:right w:val="nil"/>
            </w:tcBorders>
          </w:tcPr>
          <w:p w:rsidR="00617615" w:rsidRDefault="00617615" w:rsidP="00617615">
            <w:pPr>
              <w:rPr>
                <w:rFonts w:cs="Calibri"/>
              </w:rPr>
            </w:pPr>
          </w:p>
        </w:tc>
      </w:tr>
      <w:tr w:rsidR="00617615" w:rsidTr="00617615">
        <w:tc>
          <w:tcPr>
            <w:tcW w:w="5718" w:type="dxa"/>
            <w:gridSpan w:val="12"/>
            <w:tcBorders>
              <w:top w:val="nil"/>
              <w:left w:val="nil"/>
              <w:bottom w:val="nil"/>
              <w:right w:val="single" w:sz="4" w:space="0" w:color="auto"/>
            </w:tcBorders>
            <w:hideMark/>
          </w:tcPr>
          <w:p w:rsidR="00617615" w:rsidRDefault="00617615" w:rsidP="00617615">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617615" w:rsidRDefault="00617615" w:rsidP="00617615">
            <w:pPr>
              <w:rPr>
                <w:rFonts w:cs="Calibri"/>
              </w:rPr>
            </w:pPr>
            <w:r>
              <w:rPr>
                <w:rFonts w:cs="Calibri"/>
              </w:rPr>
              <w:t>64297</w:t>
            </w:r>
          </w:p>
        </w:tc>
      </w:tr>
      <w:tr w:rsidR="00617615" w:rsidTr="00617615">
        <w:tc>
          <w:tcPr>
            <w:tcW w:w="9690" w:type="dxa"/>
            <w:gridSpan w:val="18"/>
          </w:tcPr>
          <w:p w:rsidR="00617615" w:rsidRDefault="00617615" w:rsidP="00617615">
            <w:pPr>
              <w:rPr>
                <w:rFonts w:cs="Calibri"/>
              </w:rPr>
            </w:pPr>
          </w:p>
        </w:tc>
      </w:tr>
      <w:tr w:rsidR="00617615" w:rsidTr="00617615">
        <w:tc>
          <w:tcPr>
            <w:tcW w:w="1410" w:type="dxa"/>
            <w:tcBorders>
              <w:top w:val="nil"/>
              <w:left w:val="nil"/>
              <w:bottom w:val="single" w:sz="4" w:space="0" w:color="auto"/>
              <w:right w:val="nil"/>
            </w:tcBorders>
            <w:vAlign w:val="center"/>
            <w:hideMark/>
          </w:tcPr>
          <w:p w:rsidR="00617615" w:rsidRDefault="00617615" w:rsidP="00617615">
            <w:pPr>
              <w:jc w:val="center"/>
              <w:rPr>
                <w:rFonts w:cs="Calibri"/>
                <w:b/>
              </w:rPr>
            </w:pPr>
            <w:r>
              <w:rPr>
                <w:rFonts w:cs="Calibri"/>
                <w:b/>
                <w:szCs w:val="22"/>
              </w:rPr>
              <w:t>Predavanja</w:t>
            </w:r>
          </w:p>
          <w:p w:rsidR="00617615" w:rsidRDefault="00617615" w:rsidP="00617615">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617615" w:rsidRDefault="00617615" w:rsidP="00617615">
            <w:pPr>
              <w:jc w:val="center"/>
              <w:rPr>
                <w:rFonts w:cs="Calibri"/>
                <w:b/>
              </w:rPr>
            </w:pPr>
            <w:r>
              <w:rPr>
                <w:rFonts w:cs="Calibri"/>
                <w:b/>
                <w:szCs w:val="22"/>
              </w:rPr>
              <w:t>Seminar</w:t>
            </w:r>
          </w:p>
          <w:p w:rsidR="00617615" w:rsidRDefault="00617615" w:rsidP="00617615">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617615" w:rsidRDefault="00617615" w:rsidP="00617615">
            <w:pPr>
              <w:jc w:val="center"/>
              <w:rPr>
                <w:rFonts w:cs="Calibri"/>
                <w:b/>
              </w:rPr>
            </w:pPr>
            <w:r>
              <w:rPr>
                <w:rFonts w:cs="Calibri"/>
                <w:b/>
                <w:szCs w:val="22"/>
              </w:rPr>
              <w:t>Vaje</w:t>
            </w:r>
          </w:p>
          <w:p w:rsidR="00617615" w:rsidRDefault="00617615" w:rsidP="00617615">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617615" w:rsidRDefault="00617615" w:rsidP="00617615">
            <w:pPr>
              <w:jc w:val="center"/>
              <w:rPr>
                <w:rFonts w:cs="Calibri"/>
                <w:b/>
              </w:rPr>
            </w:pPr>
            <w:r>
              <w:rPr>
                <w:rFonts w:cs="Calibri"/>
                <w:b/>
                <w:szCs w:val="22"/>
              </w:rPr>
              <w:t>Klinične vaje</w:t>
            </w:r>
          </w:p>
          <w:p w:rsidR="00617615" w:rsidRDefault="00617615" w:rsidP="00617615">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617615" w:rsidRDefault="00617615" w:rsidP="00617615">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617615" w:rsidRDefault="00617615" w:rsidP="00617615">
            <w:pPr>
              <w:jc w:val="center"/>
              <w:rPr>
                <w:rFonts w:cs="Calibri"/>
                <w:b/>
              </w:rPr>
            </w:pPr>
            <w:r>
              <w:rPr>
                <w:rFonts w:cs="Calibri"/>
                <w:b/>
                <w:szCs w:val="22"/>
              </w:rPr>
              <w:t>Samost. delo</w:t>
            </w:r>
          </w:p>
          <w:p w:rsidR="00617615" w:rsidRDefault="00617615" w:rsidP="00617615">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617615" w:rsidRDefault="00617615" w:rsidP="00617615">
            <w:pPr>
              <w:jc w:val="center"/>
              <w:rPr>
                <w:rFonts w:cs="Calibri"/>
                <w:b/>
                <w:bCs/>
              </w:rPr>
            </w:pPr>
          </w:p>
        </w:tc>
        <w:tc>
          <w:tcPr>
            <w:tcW w:w="1068" w:type="dxa"/>
            <w:tcBorders>
              <w:top w:val="nil"/>
              <w:left w:val="nil"/>
              <w:bottom w:val="single" w:sz="4" w:space="0" w:color="auto"/>
              <w:right w:val="nil"/>
            </w:tcBorders>
            <w:vAlign w:val="center"/>
            <w:hideMark/>
          </w:tcPr>
          <w:p w:rsidR="00617615" w:rsidRDefault="00617615" w:rsidP="00617615">
            <w:pPr>
              <w:jc w:val="center"/>
              <w:rPr>
                <w:rFonts w:cs="Calibri"/>
                <w:b/>
              </w:rPr>
            </w:pPr>
            <w:r>
              <w:rPr>
                <w:rFonts w:cs="Calibri"/>
                <w:b/>
                <w:szCs w:val="22"/>
              </w:rPr>
              <w:t>ECTS</w:t>
            </w:r>
          </w:p>
        </w:tc>
      </w:tr>
      <w:tr w:rsidR="00617615" w:rsidTr="00617615">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17615" w:rsidRPr="00327E3D" w:rsidRDefault="00617615" w:rsidP="00617615">
            <w:pPr>
              <w:jc w:val="center"/>
              <w:rPr>
                <w:rFonts w:cs="Calibri"/>
                <w:bCs/>
              </w:rPr>
            </w:pPr>
            <w:bookmarkStart w:id="2" w:name="_GoBack" w:colFirst="0" w:colLast="7"/>
            <w:r w:rsidRPr="00327E3D">
              <w:rPr>
                <w:rFonts w:cs="Calibri"/>
                <w:bCs/>
              </w:rPr>
              <w:t>15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17615" w:rsidRPr="00327E3D" w:rsidRDefault="00617615" w:rsidP="00617615">
            <w:pPr>
              <w:jc w:val="center"/>
              <w:rPr>
                <w:rFonts w:cs="Calibri"/>
                <w:bCs/>
              </w:rPr>
            </w:pPr>
            <w:r w:rsidRPr="00327E3D">
              <w:rPr>
                <w:rFonts w:cs="Calibri"/>
                <w:bCs/>
              </w:rPr>
              <w:t>-</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17615" w:rsidRPr="00327E3D" w:rsidRDefault="00617615" w:rsidP="00617615">
            <w:pPr>
              <w:jc w:val="center"/>
              <w:rPr>
                <w:rFonts w:cs="Calibri"/>
                <w:bCs/>
              </w:rPr>
            </w:pPr>
            <w:r w:rsidRPr="00327E3D">
              <w:rPr>
                <w:rFonts w:cs="Calibri"/>
                <w:bCs/>
              </w:rPr>
              <w:t>60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17615" w:rsidRPr="00327E3D" w:rsidRDefault="00617615" w:rsidP="00617615">
            <w:pPr>
              <w:jc w:val="center"/>
              <w:rPr>
                <w:rFonts w:cs="Calibri"/>
                <w:bCs/>
              </w:rPr>
            </w:pPr>
            <w:r w:rsidRPr="00327E3D">
              <w:rPr>
                <w:rFonts w:cs="Calibri"/>
                <w:bCs/>
              </w:rPr>
              <w:t>-</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17615" w:rsidRPr="00327E3D" w:rsidRDefault="00617615" w:rsidP="00617615">
            <w:pPr>
              <w:jc w:val="center"/>
              <w:rPr>
                <w:rFonts w:cs="Calibri"/>
                <w:bCs/>
              </w:rPr>
            </w:pPr>
            <w:r w:rsidRPr="00327E3D">
              <w:rPr>
                <w:rFonts w:cs="Calibri"/>
                <w:bCs/>
              </w:rPr>
              <w:t>-</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17615" w:rsidRPr="00327E3D" w:rsidRDefault="00617615" w:rsidP="00617615">
            <w:pPr>
              <w:jc w:val="center"/>
              <w:rPr>
                <w:rFonts w:cs="Calibri"/>
                <w:bCs/>
              </w:rPr>
            </w:pPr>
            <w:r w:rsidRPr="00327E3D">
              <w:rPr>
                <w:rFonts w:cs="Calibri"/>
                <w:bCs/>
              </w:rPr>
              <w:t>75</w:t>
            </w:r>
          </w:p>
        </w:tc>
        <w:tc>
          <w:tcPr>
            <w:tcW w:w="132" w:type="dxa"/>
            <w:tcBorders>
              <w:top w:val="nil"/>
              <w:left w:val="single" w:sz="4" w:space="0" w:color="auto"/>
              <w:bottom w:val="nil"/>
              <w:right w:val="single" w:sz="4" w:space="0" w:color="auto"/>
            </w:tcBorders>
            <w:vAlign w:val="center"/>
          </w:tcPr>
          <w:p w:rsidR="00617615" w:rsidRPr="00327E3D" w:rsidRDefault="00617615" w:rsidP="00617615">
            <w:pPr>
              <w:jc w:val="center"/>
              <w:rPr>
                <w:rFonts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617615" w:rsidRPr="00327E3D" w:rsidRDefault="00617615" w:rsidP="00617615">
            <w:pPr>
              <w:jc w:val="center"/>
              <w:rPr>
                <w:rFonts w:cs="Calibri"/>
                <w:bCs/>
              </w:rPr>
            </w:pPr>
            <w:r w:rsidRPr="00327E3D">
              <w:rPr>
                <w:rFonts w:cs="Calibri"/>
                <w:bCs/>
              </w:rPr>
              <w:t>6</w:t>
            </w:r>
          </w:p>
        </w:tc>
      </w:tr>
      <w:bookmarkEnd w:id="2"/>
      <w:tr w:rsidR="00617615" w:rsidTr="00617615">
        <w:tc>
          <w:tcPr>
            <w:tcW w:w="9690" w:type="dxa"/>
            <w:gridSpan w:val="18"/>
          </w:tcPr>
          <w:p w:rsidR="00617615" w:rsidRDefault="00617615" w:rsidP="00617615">
            <w:pPr>
              <w:rPr>
                <w:rFonts w:cs="Calibri"/>
                <w:b/>
                <w:bCs/>
              </w:rPr>
            </w:pPr>
          </w:p>
        </w:tc>
      </w:tr>
      <w:tr w:rsidR="00617615" w:rsidTr="00617615">
        <w:tc>
          <w:tcPr>
            <w:tcW w:w="3307" w:type="dxa"/>
            <w:gridSpan w:val="5"/>
            <w:hideMark/>
          </w:tcPr>
          <w:p w:rsidR="00617615" w:rsidRDefault="00617615" w:rsidP="00617615">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617615" w:rsidRDefault="00617615" w:rsidP="00617615">
            <w:pPr>
              <w:rPr>
                <w:rFonts w:cs="Calibri"/>
              </w:rPr>
            </w:pPr>
            <w:bookmarkStart w:id="3" w:name="Predavatelj"/>
            <w:bookmarkEnd w:id="3"/>
            <w:r>
              <w:rPr>
                <w:rFonts w:cs="Calibri"/>
              </w:rPr>
              <w:t>Marko Munih, Janko Drnovšek</w:t>
            </w:r>
          </w:p>
        </w:tc>
      </w:tr>
      <w:tr w:rsidR="00617615" w:rsidTr="00617615">
        <w:tc>
          <w:tcPr>
            <w:tcW w:w="9690" w:type="dxa"/>
            <w:gridSpan w:val="18"/>
          </w:tcPr>
          <w:p w:rsidR="00617615" w:rsidRDefault="00617615" w:rsidP="00617615">
            <w:pPr>
              <w:jc w:val="both"/>
              <w:rPr>
                <w:rFonts w:cs="Calibri"/>
              </w:rPr>
            </w:pPr>
          </w:p>
        </w:tc>
      </w:tr>
      <w:tr w:rsidR="00617615" w:rsidTr="00617615">
        <w:tc>
          <w:tcPr>
            <w:tcW w:w="1641" w:type="dxa"/>
            <w:gridSpan w:val="2"/>
            <w:vMerge w:val="restart"/>
            <w:hideMark/>
          </w:tcPr>
          <w:p w:rsidR="00617615" w:rsidRDefault="00617615" w:rsidP="00617615">
            <w:pPr>
              <w:rPr>
                <w:rFonts w:cs="Calibri"/>
                <w:b/>
              </w:rPr>
            </w:pPr>
            <w:r>
              <w:rPr>
                <w:rFonts w:cs="Calibri"/>
                <w:b/>
                <w:szCs w:val="22"/>
              </w:rPr>
              <w:t xml:space="preserve">Jeziki / </w:t>
            </w:r>
          </w:p>
          <w:p w:rsidR="00617615" w:rsidRDefault="00617615" w:rsidP="00617615">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617615" w:rsidRDefault="00617615" w:rsidP="00617615">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327E3D" w:rsidRPr="00D51111" w:rsidRDefault="00617615" w:rsidP="00327E3D">
            <w:pPr>
              <w:jc w:val="both"/>
              <w:rPr>
                <w:rFonts w:asciiTheme="minorHAnsi" w:hAnsiTheme="minorHAnsi" w:cs="Calibri"/>
                <w:bCs/>
              </w:rPr>
            </w:pPr>
            <w:bookmarkStart w:id="4" w:name="Jezik"/>
            <w:bookmarkEnd w:id="4"/>
            <w:r>
              <w:rPr>
                <w:rFonts w:cs="Calibri"/>
                <w:b/>
                <w:bCs/>
              </w:rPr>
              <w:t xml:space="preserve"> </w:t>
            </w:r>
            <w:r w:rsidR="00327E3D">
              <w:rPr>
                <w:rFonts w:asciiTheme="minorHAnsi" w:hAnsiTheme="minorHAnsi" w:cs="Calibri"/>
                <w:bCs/>
              </w:rPr>
              <w:t>slovenski</w:t>
            </w:r>
            <w:r w:rsidR="00327E3D" w:rsidRPr="00D51111">
              <w:rPr>
                <w:rFonts w:asciiTheme="minorHAnsi" w:hAnsiTheme="minorHAnsi" w:cs="Calibri"/>
                <w:bCs/>
              </w:rPr>
              <w:t xml:space="preserve"> / </w:t>
            </w:r>
            <w:r w:rsidR="00327E3D" w:rsidRPr="00D51111">
              <w:rPr>
                <w:rFonts w:asciiTheme="minorHAnsi" w:hAnsiTheme="minorHAnsi" w:cs="Calibri"/>
                <w:bCs/>
                <w:lang w:val="en-GB"/>
              </w:rPr>
              <w:t>Slovenian</w:t>
            </w:r>
          </w:p>
          <w:p w:rsidR="00617615" w:rsidRDefault="00327E3D" w:rsidP="00327E3D">
            <w:pPr>
              <w:jc w:val="both"/>
              <w:rPr>
                <w:rFonts w:cs="Calibri"/>
                <w:b/>
                <w:bCs/>
              </w:rPr>
            </w:pPr>
            <w:r>
              <w:rPr>
                <w:rFonts w:asciiTheme="minorHAnsi" w:hAnsiTheme="minorHAnsi" w:cs="Calibri"/>
                <w:bCs/>
              </w:rPr>
              <w:t xml:space="preserve">angleški / </w:t>
            </w:r>
            <w:r w:rsidRPr="00D51111">
              <w:rPr>
                <w:rFonts w:asciiTheme="minorHAnsi" w:hAnsiTheme="minorHAnsi" w:cs="Calibri"/>
                <w:bCs/>
                <w:lang w:val="en-US"/>
              </w:rPr>
              <w:t>English</w:t>
            </w:r>
          </w:p>
        </w:tc>
      </w:tr>
      <w:tr w:rsidR="00617615" w:rsidTr="00617615">
        <w:trPr>
          <w:trHeight w:val="215"/>
        </w:trPr>
        <w:tc>
          <w:tcPr>
            <w:tcW w:w="1641" w:type="dxa"/>
            <w:gridSpan w:val="2"/>
            <w:vMerge/>
            <w:vAlign w:val="center"/>
            <w:hideMark/>
          </w:tcPr>
          <w:p w:rsidR="00617615" w:rsidRDefault="00617615" w:rsidP="00617615">
            <w:pPr>
              <w:rPr>
                <w:rFonts w:cs="Calibri"/>
              </w:rPr>
            </w:pPr>
          </w:p>
        </w:tc>
        <w:tc>
          <w:tcPr>
            <w:tcW w:w="2241" w:type="dxa"/>
            <w:gridSpan w:val="4"/>
            <w:hideMark/>
          </w:tcPr>
          <w:p w:rsidR="00617615" w:rsidRDefault="00617615" w:rsidP="00617615">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327E3D" w:rsidRPr="00D51111" w:rsidRDefault="00327E3D" w:rsidP="00327E3D">
            <w:pPr>
              <w:jc w:val="both"/>
              <w:rPr>
                <w:rFonts w:asciiTheme="minorHAnsi" w:hAnsiTheme="minorHAnsi" w:cs="Calibri"/>
                <w:bCs/>
              </w:rPr>
            </w:pPr>
            <w:bookmarkStart w:id="5" w:name="JezikV"/>
            <w:bookmarkEnd w:id="5"/>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p>
          <w:p w:rsidR="00617615" w:rsidRDefault="00327E3D" w:rsidP="00327E3D">
            <w:pPr>
              <w:jc w:val="both"/>
              <w:rPr>
                <w:rFonts w:cs="Calibri"/>
                <w:b/>
                <w:bCs/>
              </w:rPr>
            </w:pPr>
            <w:r>
              <w:rPr>
                <w:rFonts w:asciiTheme="minorHAnsi" w:hAnsiTheme="minorHAnsi" w:cs="Calibri"/>
                <w:bCs/>
              </w:rPr>
              <w:t xml:space="preserve">angleški / </w:t>
            </w:r>
            <w:r w:rsidRPr="00D51111">
              <w:rPr>
                <w:rFonts w:asciiTheme="minorHAnsi" w:hAnsiTheme="minorHAnsi" w:cs="Calibri"/>
                <w:bCs/>
                <w:lang w:val="en-US"/>
              </w:rPr>
              <w:t>English</w:t>
            </w:r>
          </w:p>
        </w:tc>
      </w:tr>
      <w:tr w:rsidR="00617615" w:rsidTr="00617615">
        <w:tc>
          <w:tcPr>
            <w:tcW w:w="4728" w:type="dxa"/>
            <w:gridSpan w:val="9"/>
            <w:tcBorders>
              <w:top w:val="nil"/>
              <w:left w:val="nil"/>
              <w:bottom w:val="single" w:sz="4" w:space="0" w:color="auto"/>
              <w:right w:val="nil"/>
            </w:tcBorders>
          </w:tcPr>
          <w:p w:rsidR="00617615" w:rsidRDefault="00617615" w:rsidP="00617615">
            <w:pPr>
              <w:rPr>
                <w:rFonts w:cs="Calibri"/>
                <w:b/>
                <w:bCs/>
              </w:rPr>
            </w:pPr>
          </w:p>
          <w:p w:rsidR="00617615" w:rsidRDefault="00617615" w:rsidP="00617615">
            <w:pPr>
              <w:rPr>
                <w:rFonts w:cs="Calibri"/>
                <w:b/>
              </w:rPr>
            </w:pPr>
            <w:r>
              <w:rPr>
                <w:rFonts w:cs="Calibri"/>
                <w:b/>
                <w:szCs w:val="22"/>
              </w:rPr>
              <w:t>Pogoji za vključitev v delo oz. za opravljanje študijskih obveznosti:</w:t>
            </w:r>
          </w:p>
        </w:tc>
        <w:tc>
          <w:tcPr>
            <w:tcW w:w="142" w:type="dxa"/>
          </w:tcPr>
          <w:p w:rsidR="00617615" w:rsidRDefault="00617615" w:rsidP="00617615">
            <w:pPr>
              <w:rPr>
                <w:rFonts w:cs="Calibri"/>
                <w:b/>
              </w:rPr>
            </w:pPr>
          </w:p>
          <w:p w:rsidR="00617615" w:rsidRDefault="00617615" w:rsidP="00617615">
            <w:pPr>
              <w:rPr>
                <w:rFonts w:cs="Calibri"/>
                <w:b/>
              </w:rPr>
            </w:pPr>
          </w:p>
        </w:tc>
        <w:tc>
          <w:tcPr>
            <w:tcW w:w="4820" w:type="dxa"/>
            <w:gridSpan w:val="8"/>
            <w:tcBorders>
              <w:top w:val="nil"/>
              <w:left w:val="nil"/>
              <w:bottom w:val="single" w:sz="4" w:space="0" w:color="auto"/>
              <w:right w:val="nil"/>
            </w:tcBorders>
          </w:tcPr>
          <w:p w:rsidR="00617615" w:rsidRDefault="00617615" w:rsidP="00617615">
            <w:pPr>
              <w:rPr>
                <w:rFonts w:cs="Calibri"/>
                <w:b/>
              </w:rPr>
            </w:pPr>
          </w:p>
          <w:p w:rsidR="00617615" w:rsidRDefault="00617615" w:rsidP="00617615">
            <w:pPr>
              <w:rPr>
                <w:rFonts w:cs="Calibri"/>
                <w:b/>
              </w:rPr>
            </w:pPr>
            <w:proofErr w:type="spellStart"/>
            <w:r>
              <w:rPr>
                <w:rFonts w:cs="Calibri"/>
                <w:b/>
                <w:szCs w:val="22"/>
              </w:rPr>
              <w:t>Prerequisits</w:t>
            </w:r>
            <w:proofErr w:type="spellEnd"/>
            <w:r>
              <w:rPr>
                <w:rFonts w:cs="Calibri"/>
                <w:b/>
                <w:szCs w:val="22"/>
              </w:rPr>
              <w:t>:</w:t>
            </w:r>
          </w:p>
        </w:tc>
      </w:tr>
      <w:tr w:rsidR="00617615" w:rsidTr="00617615">
        <w:trPr>
          <w:trHeight w:val="2665"/>
        </w:trPr>
        <w:tc>
          <w:tcPr>
            <w:tcW w:w="4728" w:type="dxa"/>
            <w:gridSpan w:val="9"/>
            <w:tcBorders>
              <w:top w:val="single" w:sz="4" w:space="0" w:color="auto"/>
              <w:left w:val="single" w:sz="4" w:space="0" w:color="auto"/>
              <w:bottom w:val="single" w:sz="4" w:space="0" w:color="auto"/>
              <w:right w:val="single" w:sz="4" w:space="0" w:color="auto"/>
            </w:tcBorders>
          </w:tcPr>
          <w:p w:rsidR="0071555D" w:rsidRPr="00AE34C5" w:rsidRDefault="00607F66" w:rsidP="00617615">
            <w:pPr>
              <w:rPr>
                <w:noProof/>
              </w:rPr>
            </w:pPr>
            <w:r>
              <w:rPr>
                <w:noProof/>
              </w:rPr>
              <w:t>Vpis v letnik predmeta</w:t>
            </w:r>
          </w:p>
        </w:tc>
        <w:tc>
          <w:tcPr>
            <w:tcW w:w="142" w:type="dxa"/>
            <w:tcBorders>
              <w:top w:val="nil"/>
              <w:left w:val="single" w:sz="4" w:space="0" w:color="auto"/>
              <w:bottom w:val="nil"/>
              <w:right w:val="single" w:sz="4" w:space="0" w:color="auto"/>
            </w:tcBorders>
          </w:tcPr>
          <w:p w:rsidR="00617615" w:rsidRDefault="00617615" w:rsidP="00617615">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71555D" w:rsidRPr="00085EF1" w:rsidRDefault="00607F66" w:rsidP="0071555D">
            <w:pPr>
              <w:rPr>
                <w:rFonts w:cs="Calibri"/>
                <w:lang w:val="en-US"/>
              </w:rPr>
            </w:pPr>
            <w:r>
              <w:rPr>
                <w:rFonts w:asciiTheme="minorHAnsi" w:hAnsiTheme="minorHAnsi"/>
                <w:lang w:val="en-US" w:eastAsia="en-US"/>
              </w:rPr>
              <w:t>Enrolment in the year of the course</w:t>
            </w:r>
          </w:p>
        </w:tc>
      </w:tr>
      <w:tr w:rsidR="00617615" w:rsidTr="00617615">
        <w:trPr>
          <w:trHeight w:val="137"/>
        </w:trPr>
        <w:tc>
          <w:tcPr>
            <w:tcW w:w="4718" w:type="dxa"/>
            <w:gridSpan w:val="8"/>
            <w:tcBorders>
              <w:top w:val="nil"/>
              <w:left w:val="nil"/>
              <w:bottom w:val="single" w:sz="4" w:space="0" w:color="auto"/>
              <w:right w:val="nil"/>
            </w:tcBorders>
          </w:tcPr>
          <w:p w:rsidR="00617615" w:rsidRDefault="00617615" w:rsidP="00617615">
            <w:pPr>
              <w:rPr>
                <w:rFonts w:cs="Calibri"/>
                <w:b/>
              </w:rPr>
            </w:pPr>
          </w:p>
          <w:p w:rsidR="00617615" w:rsidRDefault="00617615" w:rsidP="00617615">
            <w:pPr>
              <w:rPr>
                <w:rFonts w:cs="Calibri"/>
                <w:b/>
              </w:rPr>
            </w:pPr>
            <w:r>
              <w:rPr>
                <w:rFonts w:cs="Calibri"/>
                <w:b/>
                <w:szCs w:val="22"/>
              </w:rPr>
              <w:t>Vsebina:</w:t>
            </w:r>
            <w:r>
              <w:rPr>
                <w:rFonts w:cs="Calibri"/>
                <w:szCs w:val="22"/>
              </w:rPr>
              <w:t xml:space="preserve"> </w:t>
            </w:r>
          </w:p>
        </w:tc>
        <w:tc>
          <w:tcPr>
            <w:tcW w:w="152" w:type="dxa"/>
            <w:gridSpan w:val="2"/>
          </w:tcPr>
          <w:p w:rsidR="00617615" w:rsidRDefault="00617615" w:rsidP="00617615">
            <w:pPr>
              <w:rPr>
                <w:rFonts w:cs="Calibri"/>
                <w:b/>
              </w:rPr>
            </w:pPr>
          </w:p>
        </w:tc>
        <w:tc>
          <w:tcPr>
            <w:tcW w:w="4820" w:type="dxa"/>
            <w:gridSpan w:val="8"/>
            <w:tcBorders>
              <w:top w:val="nil"/>
              <w:left w:val="nil"/>
              <w:bottom w:val="single" w:sz="4" w:space="0" w:color="auto"/>
              <w:right w:val="nil"/>
            </w:tcBorders>
          </w:tcPr>
          <w:p w:rsidR="00617615" w:rsidRDefault="00617615" w:rsidP="00617615">
            <w:pPr>
              <w:rPr>
                <w:rFonts w:cs="Calibri"/>
                <w:b/>
              </w:rPr>
            </w:pPr>
          </w:p>
          <w:p w:rsidR="00617615" w:rsidRDefault="00617615" w:rsidP="00617615">
            <w:pPr>
              <w:rPr>
                <w:rFonts w:cs="Calibri"/>
                <w:b/>
              </w:rPr>
            </w:pPr>
            <w:proofErr w:type="spellStart"/>
            <w:r>
              <w:rPr>
                <w:rFonts w:cs="Calibri"/>
                <w:b/>
                <w:szCs w:val="22"/>
              </w:rPr>
              <w:t>Content</w:t>
            </w:r>
            <w:proofErr w:type="spellEnd"/>
            <w:r>
              <w:rPr>
                <w:rFonts w:cs="Calibri"/>
                <w:b/>
                <w:szCs w:val="22"/>
              </w:rPr>
              <w:t xml:space="preserve"> (</w:t>
            </w:r>
            <w:proofErr w:type="spellStart"/>
            <w:r>
              <w:rPr>
                <w:rFonts w:cs="Calibri"/>
                <w:b/>
                <w:szCs w:val="22"/>
              </w:rPr>
              <w:t>Syllabus</w:t>
            </w:r>
            <w:proofErr w:type="spellEnd"/>
            <w:r>
              <w:rPr>
                <w:rFonts w:cs="Calibri"/>
                <w:b/>
                <w:szCs w:val="22"/>
              </w:rPr>
              <w:t xml:space="preserve"> </w:t>
            </w:r>
            <w:proofErr w:type="spellStart"/>
            <w:r>
              <w:rPr>
                <w:rFonts w:cs="Calibri"/>
                <w:b/>
                <w:szCs w:val="22"/>
              </w:rPr>
              <w:t>outline</w:t>
            </w:r>
            <w:proofErr w:type="spellEnd"/>
            <w:r>
              <w:rPr>
                <w:rFonts w:cs="Calibri"/>
                <w:b/>
                <w:szCs w:val="22"/>
              </w:rPr>
              <w:t>):</w:t>
            </w:r>
          </w:p>
        </w:tc>
      </w:tr>
      <w:tr w:rsidR="00617615" w:rsidRPr="00085EF1" w:rsidTr="00617615">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617615" w:rsidRDefault="00617615" w:rsidP="00617615">
            <w:pPr>
              <w:rPr>
                <w:rFonts w:cs="Calibri"/>
              </w:rPr>
            </w:pPr>
            <w:r w:rsidRPr="00AE34C5">
              <w:rPr>
                <w:rFonts w:cs="Calibri"/>
              </w:rPr>
              <w:lastRenderedPageBreak/>
              <w:t>Študent uporabi znanja pridobljena pri predmetih s področja robotike ter pri predmetih s področja merjenj pri reševanju praktične projektne naloge. Za študente z drugih fakultet se seminar prilagodi. Vsak študent opravlja projektno nalogo samostojno. Naloge so izbrane v skladu z interesi slovenskih podjetij, ki bodisi uvajajo robotske celice ali pa so uporabniki robotov. Merilna problematika je vezana na tekoče raziskovalne projekte, sodelovanje pri industrijskih projektih, tudi tehniško zakonodajo, varnost in kakovost. Študent izvaja projektno nalogo v laboratorijih fakultete, raziskovalnega inštituta ali samega podjetja. Dodeljen mu je delovni mentor in vključen je v tim strokovnjakov iz raziskovalnega in industrijskega okolja.</w:t>
            </w:r>
          </w:p>
        </w:tc>
        <w:tc>
          <w:tcPr>
            <w:tcW w:w="152" w:type="dxa"/>
            <w:gridSpan w:val="2"/>
            <w:tcBorders>
              <w:top w:val="nil"/>
              <w:left w:val="single" w:sz="4" w:space="0" w:color="auto"/>
              <w:bottom w:val="nil"/>
              <w:right w:val="single" w:sz="4" w:space="0" w:color="auto"/>
            </w:tcBorders>
          </w:tcPr>
          <w:p w:rsidR="00617615" w:rsidRDefault="00617615" w:rsidP="00617615">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17615" w:rsidRPr="00085EF1" w:rsidRDefault="00617615" w:rsidP="00617615">
            <w:pPr>
              <w:rPr>
                <w:rFonts w:cs="Calibri"/>
                <w:lang w:val="en-US"/>
              </w:rPr>
            </w:pPr>
            <w:r w:rsidRPr="00085EF1">
              <w:rPr>
                <w:rFonts w:cs="Calibri"/>
                <w:lang w:val="en-US"/>
              </w:rPr>
              <w:t xml:space="preserve">Student uses knowledge gained in robotic and in measurement courses. For students from other Faculties the seminar </w:t>
            </w:r>
            <w:r w:rsidR="00085EF1" w:rsidRPr="00085EF1">
              <w:rPr>
                <w:rFonts w:cs="Calibri"/>
                <w:lang w:val="en-US"/>
              </w:rPr>
              <w:t xml:space="preserve">is </w:t>
            </w:r>
            <w:r w:rsidRPr="00085EF1">
              <w:rPr>
                <w:rFonts w:cs="Calibri"/>
                <w:lang w:val="en-US"/>
              </w:rPr>
              <w:t>adequately adapted. Each student is working on the project on its own. The problems are selected according to the interest fields of Slovenian industry, who either introduce the robotic cells or are major robot users. The measurement cases are linked to the current research projects, cooperation in industrial projects, also technical legislation, safety and quality. Student can work on project in faculty labs, research institute or the company itself. Assigned is a working supervisor, included is in the expert team from research and industrial environment.</w:t>
            </w:r>
          </w:p>
          <w:p w:rsidR="00617615" w:rsidRPr="00085EF1" w:rsidRDefault="00617615" w:rsidP="00617615">
            <w:pPr>
              <w:rPr>
                <w:rFonts w:cs="Calibri"/>
                <w:lang w:val="en-US"/>
              </w:rPr>
            </w:pP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D60066">
        <w:tc>
          <w:tcPr>
            <w:tcW w:w="9695" w:type="dxa"/>
            <w:gridSpan w:val="6"/>
            <w:hideMark/>
          </w:tcPr>
          <w:p w:rsidR="00D60066" w:rsidRDefault="00D60066">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D60066" w:rsidTr="00D60066">
        <w:trPr>
          <w:trHeight w:val="2074"/>
        </w:trPr>
        <w:tc>
          <w:tcPr>
            <w:tcW w:w="9695" w:type="dxa"/>
            <w:gridSpan w:val="6"/>
            <w:tcBorders>
              <w:top w:val="single" w:sz="4" w:space="0" w:color="auto"/>
              <w:left w:val="single" w:sz="4" w:space="0" w:color="auto"/>
              <w:bottom w:val="single" w:sz="4" w:space="0" w:color="auto"/>
              <w:right w:val="single" w:sz="4" w:space="0" w:color="auto"/>
            </w:tcBorders>
          </w:tcPr>
          <w:p w:rsidR="00A255E0" w:rsidRPr="00085EF1" w:rsidRDefault="00A255E0" w:rsidP="00085EF1">
            <w:pPr>
              <w:pStyle w:val="ListParagraph"/>
              <w:numPr>
                <w:ilvl w:val="0"/>
                <w:numId w:val="1"/>
              </w:numPr>
              <w:ind w:left="426"/>
              <w:rPr>
                <w:rFonts w:cs="Calibri"/>
                <w:bCs/>
              </w:rPr>
            </w:pPr>
            <w:bookmarkStart w:id="6" w:name="Ucbeniki"/>
            <w:bookmarkEnd w:id="6"/>
            <w:r w:rsidRPr="00085EF1">
              <w:rPr>
                <w:rFonts w:cs="Calibri"/>
                <w:bCs/>
              </w:rPr>
              <w:t>Članki iz robotskih in merilnih revij:</w:t>
            </w:r>
          </w:p>
          <w:p w:rsidR="00A255E0" w:rsidRPr="00085EF1" w:rsidRDefault="00A255E0" w:rsidP="00085EF1">
            <w:pPr>
              <w:pStyle w:val="ListParagraph"/>
              <w:numPr>
                <w:ilvl w:val="1"/>
                <w:numId w:val="1"/>
              </w:numPr>
              <w:ind w:left="851"/>
              <w:rPr>
                <w:rFonts w:cs="Calibri"/>
                <w:bCs/>
              </w:rPr>
            </w:pPr>
            <w:r w:rsidRPr="00085EF1">
              <w:rPr>
                <w:rFonts w:cs="Calibri"/>
                <w:bCs/>
              </w:rPr>
              <w:t xml:space="preserve">IEEE </w:t>
            </w:r>
            <w:proofErr w:type="spellStart"/>
            <w:r w:rsidRPr="00085EF1">
              <w:rPr>
                <w:rFonts w:cs="Calibri"/>
                <w:bCs/>
              </w:rPr>
              <w:t>Transactions</w:t>
            </w:r>
            <w:proofErr w:type="spellEnd"/>
            <w:r w:rsidRPr="00085EF1">
              <w:rPr>
                <w:rFonts w:cs="Calibri"/>
                <w:bCs/>
              </w:rPr>
              <w:t xml:space="preserve"> on </w:t>
            </w:r>
            <w:proofErr w:type="spellStart"/>
            <w:r w:rsidRPr="00085EF1">
              <w:rPr>
                <w:rFonts w:cs="Calibri"/>
                <w:bCs/>
              </w:rPr>
              <w:t>Robotics</w:t>
            </w:r>
            <w:proofErr w:type="spellEnd"/>
            <w:r w:rsidRPr="00085EF1">
              <w:rPr>
                <w:rFonts w:cs="Calibri"/>
                <w:bCs/>
              </w:rPr>
              <w:t xml:space="preserve">, </w:t>
            </w:r>
            <w:proofErr w:type="spellStart"/>
            <w:r w:rsidRPr="00085EF1">
              <w:rPr>
                <w:rFonts w:cs="Calibri"/>
                <w:bCs/>
              </w:rPr>
              <w:t>International</w:t>
            </w:r>
            <w:proofErr w:type="spellEnd"/>
            <w:r w:rsidRPr="00085EF1">
              <w:rPr>
                <w:rFonts w:cs="Calibri"/>
                <w:bCs/>
              </w:rPr>
              <w:t xml:space="preserve"> </w:t>
            </w:r>
            <w:proofErr w:type="spellStart"/>
            <w:r w:rsidRPr="00085EF1">
              <w:rPr>
                <w:rFonts w:cs="Calibri"/>
                <w:bCs/>
              </w:rPr>
              <w:t>Journal</w:t>
            </w:r>
            <w:proofErr w:type="spellEnd"/>
            <w:r w:rsidRPr="00085EF1">
              <w:rPr>
                <w:rFonts w:cs="Calibri"/>
                <w:bCs/>
              </w:rPr>
              <w:t xml:space="preserve"> </w:t>
            </w:r>
            <w:proofErr w:type="spellStart"/>
            <w:r w:rsidRPr="00085EF1">
              <w:rPr>
                <w:rFonts w:cs="Calibri"/>
                <w:bCs/>
              </w:rPr>
              <w:t>of</w:t>
            </w:r>
            <w:proofErr w:type="spellEnd"/>
            <w:r w:rsidRPr="00085EF1">
              <w:rPr>
                <w:rFonts w:cs="Calibri"/>
                <w:bCs/>
              </w:rPr>
              <w:t xml:space="preserve"> </w:t>
            </w:r>
            <w:proofErr w:type="spellStart"/>
            <w:r w:rsidRPr="00085EF1">
              <w:rPr>
                <w:rFonts w:cs="Calibri"/>
                <w:bCs/>
              </w:rPr>
              <w:t>Robotic</w:t>
            </w:r>
            <w:proofErr w:type="spellEnd"/>
            <w:r w:rsidRPr="00085EF1">
              <w:rPr>
                <w:rFonts w:cs="Calibri"/>
                <w:bCs/>
              </w:rPr>
              <w:t xml:space="preserve"> </w:t>
            </w:r>
            <w:proofErr w:type="spellStart"/>
            <w:r w:rsidRPr="00085EF1">
              <w:rPr>
                <w:rFonts w:cs="Calibri"/>
                <w:bCs/>
              </w:rPr>
              <w:t>Research</w:t>
            </w:r>
            <w:proofErr w:type="spellEnd"/>
            <w:r w:rsidRPr="00085EF1">
              <w:rPr>
                <w:rFonts w:cs="Calibri"/>
                <w:bCs/>
              </w:rPr>
              <w:t xml:space="preserve"> in drugi</w:t>
            </w:r>
            <w:r w:rsidR="0071555D" w:rsidRPr="00085EF1">
              <w:rPr>
                <w:rFonts w:cs="Calibri"/>
                <w:bCs/>
              </w:rPr>
              <w:t>.</w:t>
            </w:r>
            <w:r w:rsidRPr="00085EF1">
              <w:rPr>
                <w:rFonts w:cs="Calibri"/>
                <w:bCs/>
              </w:rPr>
              <w:t xml:space="preserve"> </w:t>
            </w:r>
          </w:p>
          <w:p w:rsidR="00A255E0" w:rsidRPr="00085EF1" w:rsidRDefault="00A255E0" w:rsidP="00085EF1">
            <w:pPr>
              <w:pStyle w:val="ListParagraph"/>
              <w:numPr>
                <w:ilvl w:val="1"/>
                <w:numId w:val="1"/>
              </w:numPr>
              <w:ind w:left="851"/>
              <w:rPr>
                <w:rFonts w:cs="Calibri"/>
                <w:bCs/>
              </w:rPr>
            </w:pPr>
            <w:r w:rsidRPr="00085EF1">
              <w:rPr>
                <w:rFonts w:cs="Calibri"/>
                <w:bCs/>
              </w:rPr>
              <w:t>Zborniki konferenc: ICRA, IROS in drugi.</w:t>
            </w:r>
          </w:p>
          <w:p w:rsidR="007A52F6" w:rsidRPr="00085EF1" w:rsidRDefault="00A255E0" w:rsidP="00085EF1">
            <w:pPr>
              <w:pStyle w:val="ListParagraph"/>
              <w:numPr>
                <w:ilvl w:val="1"/>
                <w:numId w:val="1"/>
              </w:numPr>
              <w:ind w:left="851"/>
              <w:rPr>
                <w:rFonts w:cs="Calibri"/>
                <w:bCs/>
              </w:rPr>
            </w:pPr>
            <w:r w:rsidRPr="00085EF1">
              <w:rPr>
                <w:rFonts w:cs="Calibri"/>
                <w:bCs/>
              </w:rPr>
              <w:t>Učbeniki, študijsko gradivo in relevantna strokovna literatura s področja merjenj, robotike, tehniški standardi, EU in slovenska zakonodaja.</w:t>
            </w:r>
          </w:p>
          <w:p w:rsidR="00A255E0" w:rsidRPr="00085EF1" w:rsidRDefault="00A255E0" w:rsidP="00085EF1">
            <w:pPr>
              <w:ind w:left="426"/>
              <w:rPr>
                <w:rFonts w:cs="Calibri"/>
                <w:bCs/>
              </w:rPr>
            </w:pPr>
          </w:p>
          <w:p w:rsidR="00A255E0" w:rsidRPr="00085EF1" w:rsidRDefault="00A255E0" w:rsidP="00085EF1">
            <w:pPr>
              <w:pStyle w:val="ListParagraph"/>
              <w:numPr>
                <w:ilvl w:val="0"/>
                <w:numId w:val="1"/>
              </w:numPr>
              <w:ind w:left="426"/>
              <w:rPr>
                <w:rFonts w:cs="Calibri"/>
                <w:bCs/>
                <w:lang w:val="en-US"/>
              </w:rPr>
            </w:pPr>
            <w:r w:rsidRPr="00085EF1">
              <w:rPr>
                <w:rFonts w:cs="Calibri"/>
                <w:bCs/>
                <w:lang w:val="en-US"/>
              </w:rPr>
              <w:t>Articles from robotic and measurement journals:</w:t>
            </w:r>
          </w:p>
          <w:p w:rsidR="00A255E0" w:rsidRPr="00085EF1" w:rsidRDefault="00A255E0" w:rsidP="00085EF1">
            <w:pPr>
              <w:pStyle w:val="ListParagraph"/>
              <w:numPr>
                <w:ilvl w:val="1"/>
                <w:numId w:val="1"/>
              </w:numPr>
              <w:ind w:left="851"/>
              <w:rPr>
                <w:rFonts w:cs="Calibri"/>
                <w:bCs/>
                <w:lang w:val="en-US"/>
              </w:rPr>
            </w:pPr>
            <w:r w:rsidRPr="00085EF1">
              <w:rPr>
                <w:rFonts w:cs="Calibri"/>
                <w:bCs/>
                <w:lang w:val="en-US"/>
              </w:rPr>
              <w:t>IEEE Transactions on Robotics, International Journal of Robotic Research and others</w:t>
            </w:r>
          </w:p>
          <w:p w:rsidR="00A255E0" w:rsidRPr="00085EF1" w:rsidRDefault="00A255E0" w:rsidP="00085EF1">
            <w:pPr>
              <w:pStyle w:val="ListParagraph"/>
              <w:numPr>
                <w:ilvl w:val="1"/>
                <w:numId w:val="1"/>
              </w:numPr>
              <w:ind w:left="851"/>
              <w:rPr>
                <w:rFonts w:cs="Calibri"/>
                <w:bCs/>
                <w:lang w:val="en-US"/>
              </w:rPr>
            </w:pPr>
            <w:r w:rsidRPr="00085EF1">
              <w:rPr>
                <w:rFonts w:cs="Calibri"/>
                <w:bCs/>
                <w:lang w:val="en-US"/>
              </w:rPr>
              <w:t>Conference proceedings: ICRA, IROS and others.</w:t>
            </w:r>
          </w:p>
          <w:p w:rsidR="00A255E0" w:rsidRPr="00085EF1" w:rsidRDefault="00A255E0" w:rsidP="00085EF1">
            <w:pPr>
              <w:pStyle w:val="ListParagraph"/>
              <w:numPr>
                <w:ilvl w:val="1"/>
                <w:numId w:val="1"/>
              </w:numPr>
              <w:ind w:left="851"/>
              <w:rPr>
                <w:rFonts w:cs="Calibri"/>
                <w:bCs/>
              </w:rPr>
            </w:pPr>
            <w:r w:rsidRPr="00085EF1">
              <w:rPr>
                <w:rFonts w:cs="Calibri"/>
                <w:bCs/>
                <w:lang w:val="en-US"/>
              </w:rPr>
              <w:t>Textbooks, study material and relevant expert literature in the fields of measurement, robotic</w:t>
            </w:r>
            <w:r w:rsidR="00085EF1">
              <w:rPr>
                <w:rFonts w:cs="Calibri"/>
                <w:bCs/>
                <w:lang w:val="en-US"/>
              </w:rPr>
              <w:t>s, technical standards, EU and S</w:t>
            </w:r>
            <w:r w:rsidRPr="00085EF1">
              <w:rPr>
                <w:rFonts w:cs="Calibri"/>
                <w:bCs/>
                <w:lang w:val="en-US"/>
              </w:rPr>
              <w:t>lovenian legislation.</w:t>
            </w:r>
          </w:p>
        </w:tc>
      </w:tr>
      <w:tr w:rsidR="00D60066" w:rsidTr="00D60066">
        <w:trPr>
          <w:trHeight w:val="73"/>
        </w:trPr>
        <w:tc>
          <w:tcPr>
            <w:tcW w:w="4720"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3"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D60066">
        <w:trPr>
          <w:trHeight w:val="1838"/>
        </w:trPr>
        <w:tc>
          <w:tcPr>
            <w:tcW w:w="4720" w:type="dxa"/>
            <w:gridSpan w:val="2"/>
            <w:tcBorders>
              <w:top w:val="single" w:sz="4" w:space="0" w:color="auto"/>
              <w:left w:val="single" w:sz="4" w:space="0" w:color="auto"/>
              <w:bottom w:val="single" w:sz="4" w:space="0" w:color="auto"/>
              <w:right w:val="single" w:sz="4" w:space="0" w:color="auto"/>
            </w:tcBorders>
          </w:tcPr>
          <w:p w:rsidR="00D60066" w:rsidRPr="00DC317C" w:rsidRDefault="0038721E" w:rsidP="00DC317C">
            <w:pPr>
              <w:tabs>
                <w:tab w:val="left" w:pos="1300"/>
              </w:tabs>
              <w:rPr>
                <w:rFonts w:cs="Calibri"/>
              </w:rPr>
            </w:pPr>
            <w:r w:rsidRPr="0038721E">
              <w:rPr>
                <w:rFonts w:cs="Calibri"/>
              </w:rPr>
              <w:t xml:space="preserve">Cilj seminarja je vključiti študenta v razvojno in raziskovalno delo na področju uvajanja robotov v industrijsko prakso ter v področja merjenj v najširšem smislu. Spodbuja se reševanje problemov, ki niso nujno vezani na področje elektrotehnike, vendar zahtevajo elektrotehniška znanja. Poudarek bo dan tudi sodelovanju z drugimi področji dela na FE. Študent pridobi sposobnost uporabe robotskih znanj v praksi, veščine identifikacije merilne problematike v okviru kompleksnejših procesov, poišče ustrezne rešitve, ter analizira končne izvedbe. Obvlada raziskovalne metode in postopke. Pridobi avtonomnost v strokovnem delu. Privadi se delu v skupini. </w:t>
            </w:r>
            <w:r w:rsidRPr="0038721E">
              <w:rPr>
                <w:rFonts w:cs="Calibri"/>
              </w:rPr>
              <w:lastRenderedPageBreak/>
              <w:t xml:space="preserve">Razvije komunikacijske sposobnosti. </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3" w:type="dxa"/>
            <w:gridSpan w:val="2"/>
            <w:tcBorders>
              <w:top w:val="single" w:sz="4" w:space="0" w:color="auto"/>
              <w:left w:val="single" w:sz="4" w:space="0" w:color="auto"/>
              <w:bottom w:val="single" w:sz="4" w:space="0" w:color="auto"/>
              <w:right w:val="single" w:sz="4" w:space="0" w:color="auto"/>
            </w:tcBorders>
          </w:tcPr>
          <w:p w:rsidR="00D60066" w:rsidRPr="00085EF1" w:rsidRDefault="00611659" w:rsidP="008C7FBE">
            <w:pPr>
              <w:rPr>
                <w:rFonts w:cs="Calibri"/>
                <w:lang w:val="en-US"/>
              </w:rPr>
            </w:pPr>
            <w:r w:rsidRPr="00085EF1">
              <w:rPr>
                <w:rFonts w:cs="Calibri"/>
                <w:lang w:val="en-US"/>
              </w:rPr>
              <w:t xml:space="preserve">The </w:t>
            </w:r>
            <w:r w:rsidR="0038721E" w:rsidRPr="00085EF1">
              <w:rPr>
                <w:rFonts w:cs="Calibri"/>
                <w:lang w:val="en-US"/>
              </w:rPr>
              <w:t xml:space="preserve">goal is to include </w:t>
            </w:r>
            <w:r w:rsidRPr="00085EF1">
              <w:rPr>
                <w:rFonts w:cs="Calibri"/>
                <w:lang w:val="en-US"/>
              </w:rPr>
              <w:t xml:space="preserve">student </w:t>
            </w:r>
            <w:r w:rsidR="0038721E" w:rsidRPr="00085EF1">
              <w:rPr>
                <w:rFonts w:cs="Calibri"/>
                <w:lang w:val="en-US"/>
              </w:rPr>
              <w:t>into development and research work in the field</w:t>
            </w:r>
            <w:r w:rsidR="008C7FBE" w:rsidRPr="00085EF1">
              <w:rPr>
                <w:rFonts w:cs="Calibri"/>
                <w:lang w:val="en-US"/>
              </w:rPr>
              <w:t>s</w:t>
            </w:r>
            <w:r w:rsidR="0038721E" w:rsidRPr="00085EF1">
              <w:rPr>
                <w:rFonts w:cs="Calibri"/>
                <w:lang w:val="en-US"/>
              </w:rPr>
              <w:t xml:space="preserve"> of robot introduction into industry and into fields of measurement in general. Encouraged is problem solving, which is not necessarily linked to the field of electrical engineering, but do</w:t>
            </w:r>
            <w:r w:rsidR="008C7FBE" w:rsidRPr="00085EF1">
              <w:rPr>
                <w:rFonts w:cs="Calibri"/>
                <w:lang w:val="en-US"/>
              </w:rPr>
              <w:t>es</w:t>
            </w:r>
            <w:r w:rsidR="0038721E" w:rsidRPr="00085EF1">
              <w:rPr>
                <w:rFonts w:cs="Calibri"/>
                <w:lang w:val="en-US"/>
              </w:rPr>
              <w:t xml:space="preserve"> require knowledge in electrical engineering. Emphasis will be given to cooperati</w:t>
            </w:r>
            <w:r w:rsidR="008C7FBE" w:rsidRPr="00085EF1">
              <w:rPr>
                <w:rFonts w:cs="Calibri"/>
                <w:lang w:val="en-US"/>
              </w:rPr>
              <w:t>on with other fields of activities</w:t>
            </w:r>
            <w:r w:rsidR="0038721E" w:rsidRPr="00085EF1">
              <w:rPr>
                <w:rFonts w:cs="Calibri"/>
                <w:lang w:val="en-US"/>
              </w:rPr>
              <w:t xml:space="preserve"> at FE. Student is gaining the ability to use </w:t>
            </w:r>
            <w:r w:rsidR="008C7FBE" w:rsidRPr="00085EF1">
              <w:rPr>
                <w:rFonts w:cs="Calibri"/>
                <w:lang w:val="en-US"/>
              </w:rPr>
              <w:t xml:space="preserve">robotic knowledge in practice, routine in identification of measurement problems within more complex processes, is searching for suitable solutions and analyzing the final solution. Mastered are research methods and procedures. Gained is autonomy </w:t>
            </w:r>
            <w:r w:rsidR="008C7FBE" w:rsidRPr="00085EF1">
              <w:rPr>
                <w:rFonts w:cs="Calibri"/>
                <w:lang w:val="en-US"/>
              </w:rPr>
              <w:lastRenderedPageBreak/>
              <w:t>in expert work. Accustomed is to group work. Developed are communication skills.</w:t>
            </w:r>
          </w:p>
        </w:tc>
      </w:tr>
      <w:tr w:rsidR="00D60066" w:rsidTr="00D60066">
        <w:trPr>
          <w:trHeight w:val="117"/>
        </w:trPr>
        <w:tc>
          <w:tcPr>
            <w:tcW w:w="4730"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3" w:type="dxa"/>
            <w:gridSpan w:val="2"/>
            <w:tcBorders>
              <w:top w:val="nil"/>
              <w:left w:val="nil"/>
              <w:bottom w:val="single" w:sz="4" w:space="0" w:color="auto"/>
              <w:right w:val="nil"/>
            </w:tcBorders>
          </w:tcPr>
          <w:p w:rsidR="00D60066" w:rsidRPr="00085EF1" w:rsidRDefault="00D60066">
            <w:pPr>
              <w:rPr>
                <w:rFonts w:cs="Calibri"/>
                <w:b/>
                <w:lang w:val="en-US"/>
              </w:rPr>
            </w:pPr>
          </w:p>
          <w:p w:rsidR="00D60066" w:rsidRPr="00085EF1" w:rsidRDefault="00D60066">
            <w:pPr>
              <w:rPr>
                <w:rFonts w:cs="Calibri"/>
                <w:b/>
                <w:lang w:val="en-US"/>
              </w:rPr>
            </w:pPr>
            <w:r w:rsidRPr="00085EF1">
              <w:rPr>
                <w:rFonts w:cs="Calibri"/>
                <w:b/>
                <w:szCs w:val="22"/>
                <w:lang w:val="en-US"/>
              </w:rPr>
              <w:t>Intended learning outcomes:</w:t>
            </w:r>
          </w:p>
        </w:tc>
      </w:tr>
      <w:tr w:rsidR="00D60066" w:rsidTr="00D60066">
        <w:trPr>
          <w:trHeight w:val="1387"/>
        </w:trPr>
        <w:tc>
          <w:tcPr>
            <w:tcW w:w="4730" w:type="dxa"/>
            <w:gridSpan w:val="3"/>
            <w:tcBorders>
              <w:top w:val="single" w:sz="4" w:space="0" w:color="auto"/>
              <w:left w:val="single" w:sz="4" w:space="0" w:color="auto"/>
              <w:bottom w:val="nil"/>
              <w:right w:val="single" w:sz="4" w:space="0" w:color="auto"/>
            </w:tcBorders>
          </w:tcPr>
          <w:p w:rsidR="00D60066" w:rsidRDefault="00D60066">
            <w:pPr>
              <w:rPr>
                <w:rFonts w:cs="Calibri"/>
              </w:rPr>
            </w:pPr>
            <w:r>
              <w:rPr>
                <w:rFonts w:cs="Calibri"/>
                <w:szCs w:val="22"/>
              </w:rPr>
              <w:t>Znanje in razumevanje:</w:t>
            </w:r>
          </w:p>
          <w:p w:rsidR="00574A08" w:rsidRDefault="008C7FBE">
            <w:pPr>
              <w:rPr>
                <w:rFonts w:cs="Calibri"/>
              </w:rPr>
            </w:pPr>
            <w:r w:rsidRPr="008C7FBE">
              <w:rPr>
                <w:rFonts w:cs="Calibri"/>
              </w:rPr>
              <w:t>Sposobnost povezovanja znanja z različnih področij elektrotehnike, robotike, merjenj.</w:t>
            </w:r>
          </w:p>
        </w:tc>
        <w:tc>
          <w:tcPr>
            <w:tcW w:w="142" w:type="dxa"/>
            <w:tcBorders>
              <w:top w:val="nil"/>
              <w:left w:val="single" w:sz="4" w:space="0" w:color="auto"/>
              <w:bottom w:val="nil"/>
              <w:right w:val="single" w:sz="4" w:space="0" w:color="auto"/>
            </w:tcBorders>
          </w:tcPr>
          <w:p w:rsidR="00D60066" w:rsidRDefault="00D60066">
            <w:pPr>
              <w:rPr>
                <w:rFonts w:cs="Calibri"/>
              </w:rPr>
            </w:pPr>
          </w:p>
          <w:p w:rsidR="00D60066" w:rsidRDefault="00D60066">
            <w:pPr>
              <w:rPr>
                <w:rFonts w:cs="Calibri"/>
              </w:rPr>
            </w:pPr>
          </w:p>
          <w:p w:rsidR="00D60066" w:rsidRDefault="00D60066">
            <w:pPr>
              <w:rPr>
                <w:rFonts w:cs="Calibri"/>
              </w:rPr>
            </w:pPr>
          </w:p>
        </w:tc>
        <w:tc>
          <w:tcPr>
            <w:tcW w:w="4823" w:type="dxa"/>
            <w:gridSpan w:val="2"/>
            <w:tcBorders>
              <w:top w:val="single" w:sz="4" w:space="0" w:color="auto"/>
              <w:left w:val="single" w:sz="4" w:space="0" w:color="auto"/>
              <w:bottom w:val="nil"/>
              <w:right w:val="single" w:sz="4" w:space="0" w:color="auto"/>
            </w:tcBorders>
          </w:tcPr>
          <w:p w:rsidR="00D60066" w:rsidRPr="00085EF1" w:rsidRDefault="00D60066">
            <w:pPr>
              <w:rPr>
                <w:rFonts w:cs="Calibri"/>
                <w:lang w:val="en-US"/>
              </w:rPr>
            </w:pPr>
            <w:r w:rsidRPr="00085EF1">
              <w:rPr>
                <w:rFonts w:cs="Calibri"/>
                <w:szCs w:val="22"/>
                <w:lang w:val="en-US"/>
              </w:rPr>
              <w:t>Knowledge and understanding:</w:t>
            </w:r>
          </w:p>
          <w:p w:rsidR="00D60066" w:rsidRPr="00085EF1" w:rsidRDefault="008C7FBE" w:rsidP="008C7FBE">
            <w:pPr>
              <w:rPr>
                <w:rFonts w:cs="Calibri"/>
                <w:lang w:val="en-US"/>
              </w:rPr>
            </w:pPr>
            <w:r w:rsidRPr="00085EF1">
              <w:rPr>
                <w:rFonts w:cs="Calibri"/>
                <w:lang w:val="en-US"/>
              </w:rPr>
              <w:t>Ability to combine knowledge from various fields of electrical engineering, robotics and measurement.</w:t>
            </w:r>
          </w:p>
        </w:tc>
      </w:tr>
      <w:tr w:rsidR="00D60066" w:rsidTr="00D60066">
        <w:trPr>
          <w:trHeight w:val="1417"/>
        </w:trPr>
        <w:tc>
          <w:tcPr>
            <w:tcW w:w="4730" w:type="dxa"/>
            <w:gridSpan w:val="3"/>
            <w:tcBorders>
              <w:top w:val="nil"/>
              <w:left w:val="single" w:sz="4" w:space="0" w:color="auto"/>
              <w:bottom w:val="single" w:sz="4" w:space="0" w:color="auto"/>
              <w:right w:val="single" w:sz="4" w:space="0" w:color="auto"/>
            </w:tcBorders>
          </w:tcPr>
          <w:p w:rsidR="00D60066" w:rsidRDefault="00D60066">
            <w:pPr>
              <w:rPr>
                <w:rFonts w:cs="Calibri"/>
              </w:rPr>
            </w:pPr>
          </w:p>
        </w:tc>
        <w:tc>
          <w:tcPr>
            <w:tcW w:w="142" w:type="dxa"/>
            <w:tcBorders>
              <w:top w:val="nil"/>
              <w:left w:val="single" w:sz="4" w:space="0" w:color="auto"/>
              <w:bottom w:val="nil"/>
              <w:right w:val="single" w:sz="4" w:space="0" w:color="auto"/>
            </w:tcBorders>
          </w:tcPr>
          <w:p w:rsidR="00D60066" w:rsidRDefault="00D60066">
            <w:pPr>
              <w:rPr>
                <w:rFonts w:cs="Calibri"/>
                <w:b/>
              </w:rPr>
            </w:pPr>
          </w:p>
        </w:tc>
        <w:tc>
          <w:tcPr>
            <w:tcW w:w="4823" w:type="dxa"/>
            <w:gridSpan w:val="2"/>
            <w:tcBorders>
              <w:top w:val="nil"/>
              <w:left w:val="single" w:sz="4" w:space="0" w:color="auto"/>
              <w:bottom w:val="single" w:sz="4" w:space="0" w:color="auto"/>
              <w:right w:val="single" w:sz="4" w:space="0" w:color="auto"/>
            </w:tcBorders>
          </w:tcPr>
          <w:p w:rsidR="00D60066" w:rsidRDefault="00D60066">
            <w:pPr>
              <w:rPr>
                <w:rFonts w:cs="Calibri"/>
              </w:rPr>
            </w:pPr>
          </w:p>
        </w:tc>
      </w:tr>
      <w:tr w:rsidR="00D60066" w:rsidTr="00D60066">
        <w:tc>
          <w:tcPr>
            <w:tcW w:w="4730"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Metode poučevanja in učenja:</w:t>
            </w:r>
          </w:p>
        </w:tc>
        <w:tc>
          <w:tcPr>
            <w:tcW w:w="142" w:type="dxa"/>
          </w:tcPr>
          <w:p w:rsidR="00D60066" w:rsidRDefault="00D60066">
            <w:pPr>
              <w:rPr>
                <w:rFonts w:cs="Calibri"/>
                <w:b/>
              </w:rPr>
            </w:pPr>
          </w:p>
          <w:p w:rsidR="00D60066" w:rsidRDefault="00D60066">
            <w:pPr>
              <w:rPr>
                <w:rFonts w:cs="Calibri"/>
                <w:b/>
              </w:rPr>
            </w:pPr>
          </w:p>
        </w:tc>
        <w:tc>
          <w:tcPr>
            <w:tcW w:w="4823"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proofErr w:type="spellStart"/>
            <w:r>
              <w:rPr>
                <w:rFonts w:cs="Calibri"/>
                <w:b/>
                <w:szCs w:val="22"/>
              </w:rPr>
              <w:t>Learning</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D60066" w:rsidTr="00D60066">
        <w:trPr>
          <w:trHeight w:val="2023"/>
        </w:trPr>
        <w:tc>
          <w:tcPr>
            <w:tcW w:w="4730" w:type="dxa"/>
            <w:gridSpan w:val="3"/>
            <w:tcBorders>
              <w:top w:val="single" w:sz="4" w:space="0" w:color="auto"/>
              <w:left w:val="single" w:sz="4" w:space="0" w:color="auto"/>
              <w:bottom w:val="single" w:sz="4" w:space="0" w:color="auto"/>
              <w:right w:val="single" w:sz="4" w:space="0" w:color="auto"/>
            </w:tcBorders>
          </w:tcPr>
          <w:p w:rsidR="00D60066" w:rsidRDefault="00E9322A" w:rsidP="009A278F">
            <w:pPr>
              <w:rPr>
                <w:rFonts w:cs="Calibri"/>
              </w:rPr>
            </w:pPr>
            <w:r w:rsidRPr="00E9322A">
              <w:rPr>
                <w:rFonts w:cs="Calibri"/>
              </w:rPr>
              <w:t xml:space="preserve">Študentu je na začetku semestra dodeljena samostojna projektna naloga. Prav tako mu je dodeljen delovni mentor iz vrst učiteljev, asistentov, raziskovalcev in </w:t>
            </w:r>
            <w:proofErr w:type="spellStart"/>
            <w:r w:rsidRPr="00E9322A">
              <w:rPr>
                <w:rFonts w:cs="Calibri"/>
              </w:rPr>
              <w:t>razvojnikov</w:t>
            </w:r>
            <w:proofErr w:type="spellEnd"/>
            <w:r w:rsidRPr="00E9322A">
              <w:rPr>
                <w:rFonts w:cs="Calibri"/>
              </w:rPr>
              <w:t xml:space="preserve"> na fakulteti, raziskovalnem inštitutu ali podjetju. Na začetku se </w:t>
            </w:r>
            <w:r w:rsidR="00085EF1" w:rsidRPr="00E9322A">
              <w:rPr>
                <w:rFonts w:cs="Calibri"/>
              </w:rPr>
              <w:t>detajlno</w:t>
            </w:r>
            <w:r w:rsidRPr="00E9322A">
              <w:rPr>
                <w:rFonts w:cs="Calibri"/>
              </w:rPr>
              <w:t xml:space="preserve"> seznani s problematiko, naredi časovni plan, določi mejnike, planira nepredvidljive dogodke ter predlaga kazalce ovrednotenja končnih rezultatov. Med semestrom študent dvakrat poroča o opravljenem delu, prvič ustno in drugič pisno. Na koncu semestra predstavi rezultate svojega dela na način, ki je uveljavljen na strokovnih konferencah (članek v zborniku, javna predstavitev, izbira najboljših projektov).</w:t>
            </w:r>
          </w:p>
        </w:tc>
        <w:tc>
          <w:tcPr>
            <w:tcW w:w="142" w:type="dxa"/>
            <w:tcBorders>
              <w:top w:val="nil"/>
              <w:left w:val="single" w:sz="4" w:space="0" w:color="auto"/>
              <w:bottom w:val="nil"/>
              <w:right w:val="single" w:sz="4" w:space="0" w:color="auto"/>
            </w:tcBorders>
          </w:tcPr>
          <w:p w:rsidR="00D60066" w:rsidRDefault="00D60066">
            <w:pPr>
              <w:rPr>
                <w:rFonts w:cs="Calibri"/>
              </w:rPr>
            </w:pPr>
          </w:p>
        </w:tc>
        <w:tc>
          <w:tcPr>
            <w:tcW w:w="4823" w:type="dxa"/>
            <w:gridSpan w:val="2"/>
            <w:tcBorders>
              <w:top w:val="single" w:sz="4" w:space="0" w:color="auto"/>
              <w:left w:val="single" w:sz="4" w:space="0" w:color="auto"/>
              <w:bottom w:val="single" w:sz="4" w:space="0" w:color="auto"/>
              <w:right w:val="single" w:sz="4" w:space="0" w:color="auto"/>
            </w:tcBorders>
          </w:tcPr>
          <w:p w:rsidR="00F75689" w:rsidRPr="00085EF1" w:rsidRDefault="00F75689" w:rsidP="009A278F">
            <w:pPr>
              <w:rPr>
                <w:rFonts w:cs="Calibri"/>
                <w:lang w:val="en-US"/>
              </w:rPr>
            </w:pPr>
            <w:r w:rsidRPr="00085EF1">
              <w:rPr>
                <w:rFonts w:cs="Calibri"/>
                <w:lang w:val="en-US"/>
              </w:rPr>
              <w:t>Individual project is as</w:t>
            </w:r>
            <w:r w:rsidR="00173DF1" w:rsidRPr="00085EF1">
              <w:rPr>
                <w:rFonts w:cs="Calibri"/>
                <w:lang w:val="en-US"/>
              </w:rPr>
              <w:t>si</w:t>
            </w:r>
            <w:r w:rsidRPr="00085EF1">
              <w:rPr>
                <w:rFonts w:cs="Calibri"/>
                <w:lang w:val="en-US"/>
              </w:rPr>
              <w:t xml:space="preserve">gned to the student at the beginning of semester. The supervisor is selected from the pool of university professors, assistants, researchers and developers at </w:t>
            </w:r>
            <w:r w:rsidR="00173DF1" w:rsidRPr="00085EF1">
              <w:rPr>
                <w:rFonts w:cs="Calibri"/>
                <w:lang w:val="en-US"/>
              </w:rPr>
              <w:t>t</w:t>
            </w:r>
            <w:r w:rsidRPr="00085EF1">
              <w:rPr>
                <w:rFonts w:cs="Calibri"/>
                <w:lang w:val="en-US"/>
              </w:rPr>
              <w:t xml:space="preserve">he faculty, </w:t>
            </w:r>
            <w:r w:rsidR="00085EF1" w:rsidRPr="00085EF1">
              <w:rPr>
                <w:rFonts w:cs="Calibri"/>
                <w:lang w:val="en-US"/>
              </w:rPr>
              <w:t>research</w:t>
            </w:r>
            <w:r w:rsidRPr="00085EF1">
              <w:rPr>
                <w:rFonts w:cs="Calibri"/>
                <w:lang w:val="en-US"/>
              </w:rPr>
              <w:t xml:space="preserve"> institute or company. Introductory, the problem </w:t>
            </w:r>
            <w:r w:rsidR="00173DF1" w:rsidRPr="00085EF1">
              <w:rPr>
                <w:rFonts w:cs="Calibri"/>
                <w:lang w:val="en-US"/>
              </w:rPr>
              <w:t xml:space="preserve">is </w:t>
            </w:r>
            <w:r w:rsidRPr="00085EF1">
              <w:rPr>
                <w:rFonts w:cs="Calibri"/>
                <w:lang w:val="en-US"/>
              </w:rPr>
              <w:t>presented in detail</w:t>
            </w:r>
            <w:r w:rsidR="00085EF1">
              <w:rPr>
                <w:rFonts w:cs="Calibri"/>
                <w:lang w:val="en-US"/>
              </w:rPr>
              <w:t>.</w:t>
            </w:r>
          </w:p>
          <w:p w:rsidR="00D60066" w:rsidRDefault="00085EF1" w:rsidP="00085EF1">
            <w:pPr>
              <w:rPr>
                <w:rFonts w:cs="Calibri"/>
              </w:rPr>
            </w:pPr>
            <w:r>
              <w:rPr>
                <w:rFonts w:cs="Calibri"/>
                <w:lang w:val="en-US"/>
              </w:rPr>
              <w:t>T</w:t>
            </w:r>
            <w:r w:rsidR="00F75689" w:rsidRPr="00085EF1">
              <w:rPr>
                <w:rFonts w:cs="Calibri"/>
                <w:lang w:val="en-US"/>
              </w:rPr>
              <w:t xml:space="preserve">hen the </w:t>
            </w:r>
            <w:r w:rsidRPr="00085EF1">
              <w:rPr>
                <w:rFonts w:cs="Calibri"/>
                <w:lang w:val="en-US"/>
              </w:rPr>
              <w:t>time plan</w:t>
            </w:r>
            <w:r w:rsidR="00F75689" w:rsidRPr="00085EF1">
              <w:rPr>
                <w:rFonts w:cs="Calibri"/>
                <w:lang w:val="en-US"/>
              </w:rPr>
              <w:t xml:space="preserve"> is defined, milestones are specified, planned are possible unpredicted events, </w:t>
            </w:r>
            <w:r w:rsidRPr="00085EF1">
              <w:rPr>
                <w:rFonts w:cs="Calibri"/>
                <w:lang w:val="en-US"/>
              </w:rPr>
              <w:t>and proposed</w:t>
            </w:r>
            <w:r w:rsidR="00F75689" w:rsidRPr="00085EF1">
              <w:rPr>
                <w:rFonts w:cs="Calibri"/>
                <w:lang w:val="en-US"/>
              </w:rPr>
              <w:t xml:space="preserve"> are measures of final result evaluation. During the semester the student </w:t>
            </w:r>
            <w:r w:rsidRPr="00085EF1">
              <w:rPr>
                <w:rFonts w:cs="Calibri"/>
                <w:lang w:val="en-US"/>
              </w:rPr>
              <w:t xml:space="preserve">is </w:t>
            </w:r>
            <w:r w:rsidR="00F75689" w:rsidRPr="00085EF1">
              <w:rPr>
                <w:rFonts w:cs="Calibri"/>
                <w:lang w:val="en-US"/>
              </w:rPr>
              <w:t xml:space="preserve">reporting </w:t>
            </w:r>
            <w:r w:rsidRPr="00085EF1">
              <w:rPr>
                <w:rFonts w:cs="Calibri"/>
                <w:lang w:val="en-US"/>
              </w:rPr>
              <w:t xml:space="preserve">twice </w:t>
            </w:r>
            <w:r w:rsidR="00F75689" w:rsidRPr="00085EF1">
              <w:rPr>
                <w:rFonts w:cs="Calibri"/>
                <w:lang w:val="en-US"/>
              </w:rPr>
              <w:t>about the work done</w:t>
            </w:r>
            <w:r w:rsidR="00173DF1" w:rsidRPr="00085EF1">
              <w:rPr>
                <w:rFonts w:cs="Calibri"/>
                <w:lang w:val="en-US"/>
              </w:rPr>
              <w:t xml:space="preserve">, first </w:t>
            </w:r>
            <w:r w:rsidRPr="00085EF1">
              <w:rPr>
                <w:rFonts w:cs="Calibri"/>
                <w:lang w:val="en-US"/>
              </w:rPr>
              <w:t>orally</w:t>
            </w:r>
            <w:r w:rsidR="00173DF1" w:rsidRPr="00085EF1">
              <w:rPr>
                <w:rFonts w:cs="Calibri"/>
                <w:lang w:val="en-US"/>
              </w:rPr>
              <w:t xml:space="preserve"> and second in writing. At the end of </w:t>
            </w:r>
            <w:r w:rsidRPr="00085EF1">
              <w:rPr>
                <w:rFonts w:cs="Calibri"/>
                <w:lang w:val="en-US"/>
              </w:rPr>
              <w:t>semester</w:t>
            </w:r>
            <w:r w:rsidR="00173DF1" w:rsidRPr="00085EF1">
              <w:rPr>
                <w:rFonts w:cs="Calibri"/>
                <w:lang w:val="en-US"/>
              </w:rPr>
              <w:t xml:space="preserve"> the results are presented in accordance to the practice established for the conferences (publication in proceeding, public presentation, </w:t>
            </w:r>
            <w:r w:rsidRPr="00085EF1">
              <w:rPr>
                <w:rFonts w:cs="Calibri"/>
                <w:lang w:val="en-US"/>
              </w:rPr>
              <w:t>and selection</w:t>
            </w:r>
            <w:r w:rsidR="00173DF1" w:rsidRPr="00085EF1">
              <w:rPr>
                <w:rFonts w:cs="Calibri"/>
                <w:lang w:val="en-US"/>
              </w:rPr>
              <w:t xml:space="preserve"> of the best projects).</w:t>
            </w:r>
            <w:r w:rsidR="00696816" w:rsidRPr="00085EF1">
              <w:rPr>
                <w:rFonts w:cs="Calibri"/>
                <w:lang w:val="en-US"/>
              </w:rPr>
              <w:t xml:space="preserve"> </w:t>
            </w:r>
          </w:p>
        </w:tc>
      </w:tr>
      <w:tr w:rsidR="00D60066" w:rsidTr="00D60066">
        <w:tc>
          <w:tcPr>
            <w:tcW w:w="4023" w:type="dxa"/>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D60066" w:rsidRDefault="00D60066">
            <w:pPr>
              <w:rPr>
                <w:rFonts w:cs="Calibri"/>
              </w:rPr>
            </w:pPr>
            <w:r>
              <w:rPr>
                <w:rFonts w:cs="Calibri"/>
                <w:szCs w:val="22"/>
              </w:rPr>
              <w:t>Delež (v %) /</w:t>
            </w:r>
          </w:p>
          <w:p w:rsidR="00D60066" w:rsidRDefault="00D60066">
            <w:pPr>
              <w:rPr>
                <w:rFonts w:cs="Calibri"/>
                <w:b/>
              </w:rPr>
            </w:pPr>
            <w:proofErr w:type="spellStart"/>
            <w:r>
              <w:rPr>
                <w:rFonts w:cs="Calibri"/>
                <w:szCs w:val="22"/>
              </w:rPr>
              <w:t>Weight</w:t>
            </w:r>
            <w:proofErr w:type="spellEnd"/>
            <w:r>
              <w:rPr>
                <w:rFonts w:cs="Calibri"/>
                <w:szCs w:val="22"/>
              </w:rPr>
              <w:t xml:space="preserve"> (in %)</w:t>
            </w:r>
          </w:p>
        </w:tc>
        <w:tc>
          <w:tcPr>
            <w:tcW w:w="4112" w:type="dxa"/>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proofErr w:type="spellStart"/>
            <w:r>
              <w:rPr>
                <w:rFonts w:cs="Calibri"/>
                <w:b/>
                <w:szCs w:val="22"/>
              </w:rPr>
              <w:t>Assessment</w:t>
            </w:r>
            <w:proofErr w:type="spellEnd"/>
            <w:r>
              <w:rPr>
                <w:rFonts w:cs="Calibri"/>
                <w:b/>
                <w:szCs w:val="22"/>
              </w:rPr>
              <w:t>:</w:t>
            </w:r>
          </w:p>
        </w:tc>
      </w:tr>
      <w:tr w:rsidR="00D60066" w:rsidTr="00D60066">
        <w:trPr>
          <w:trHeight w:val="1104"/>
        </w:trPr>
        <w:tc>
          <w:tcPr>
            <w:tcW w:w="4023" w:type="dxa"/>
            <w:tcBorders>
              <w:top w:val="single" w:sz="4" w:space="0" w:color="auto"/>
              <w:left w:val="single" w:sz="4" w:space="0" w:color="auto"/>
              <w:bottom w:val="single" w:sz="4" w:space="0" w:color="auto"/>
              <w:right w:val="single" w:sz="4" w:space="0" w:color="auto"/>
            </w:tcBorders>
          </w:tcPr>
          <w:p w:rsidR="00173DF1" w:rsidRPr="00173DF1" w:rsidRDefault="00173DF1" w:rsidP="00173DF1">
            <w:pPr>
              <w:rPr>
                <w:rFonts w:cs="Calibri"/>
              </w:rPr>
            </w:pPr>
            <w:r w:rsidRPr="00173DF1">
              <w:rPr>
                <w:rFonts w:cs="Calibri"/>
                <w:szCs w:val="22"/>
              </w:rPr>
              <w:t>Pisno poročilo (članek), ustna javna predstavitev.</w:t>
            </w:r>
          </w:p>
          <w:p w:rsidR="00173DF1" w:rsidRPr="00173DF1" w:rsidRDefault="00173DF1" w:rsidP="00173DF1">
            <w:pPr>
              <w:rPr>
                <w:rFonts w:cs="Calibri"/>
              </w:rPr>
            </w:pPr>
            <w:r w:rsidRPr="00173DF1">
              <w:rPr>
                <w:rFonts w:cs="Calibri"/>
                <w:szCs w:val="22"/>
              </w:rPr>
              <w:t>Skupina učiteljev in asistentov ocenjuje pisno poročilo (članek) in javno predstavitev na način, ki je uveljavljen na strokovnih konferencah (</w:t>
            </w:r>
            <w:proofErr w:type="spellStart"/>
            <w:r w:rsidRPr="00173DF1">
              <w:rPr>
                <w:rFonts w:cs="Calibri"/>
                <w:szCs w:val="22"/>
              </w:rPr>
              <w:t>peer</w:t>
            </w:r>
            <w:proofErr w:type="spellEnd"/>
            <w:r w:rsidRPr="00173DF1">
              <w:rPr>
                <w:rFonts w:cs="Calibri"/>
                <w:szCs w:val="22"/>
              </w:rPr>
              <w:t xml:space="preserve"> </w:t>
            </w:r>
            <w:proofErr w:type="spellStart"/>
            <w:r w:rsidRPr="00173DF1">
              <w:rPr>
                <w:rFonts w:cs="Calibri"/>
                <w:szCs w:val="22"/>
              </w:rPr>
              <w:t>review</w:t>
            </w:r>
            <w:proofErr w:type="spellEnd"/>
            <w:r w:rsidRPr="00173DF1">
              <w:rPr>
                <w:rFonts w:cs="Calibri"/>
                <w:szCs w:val="22"/>
              </w:rPr>
              <w:t>).</w:t>
            </w:r>
          </w:p>
          <w:p w:rsidR="00D60066" w:rsidRDefault="00173DF1" w:rsidP="00676B8E">
            <w:pPr>
              <w:rPr>
                <w:rFonts w:cs="Calibri"/>
                <w:szCs w:val="22"/>
              </w:rPr>
            </w:pPr>
            <w:r>
              <w:rPr>
                <w:rFonts w:cs="Calibri"/>
                <w:szCs w:val="22"/>
              </w:rPr>
              <w:t xml:space="preserve">Ocenjevalna lestvica: od 6 do 10 </w:t>
            </w:r>
            <w:r>
              <w:rPr>
                <w:rFonts w:cs="Calibri"/>
                <w:szCs w:val="22"/>
              </w:rPr>
              <w:lastRenderedPageBreak/>
              <w:t>pozitivno, od 1 do 5 negativno.</w:t>
            </w:r>
          </w:p>
          <w:p w:rsidR="00085EF1" w:rsidRDefault="00085EF1" w:rsidP="00676B8E">
            <w:pPr>
              <w:rPr>
                <w:rFonts w:cs="Calibri"/>
                <w:szCs w:val="22"/>
              </w:rPr>
            </w:pPr>
            <w:r>
              <w:rPr>
                <w:rFonts w:cs="Calibri"/>
                <w:szCs w:val="22"/>
              </w:rPr>
              <w:t>Prispevek k oceni:</w:t>
            </w:r>
          </w:p>
          <w:p w:rsidR="00085EF1" w:rsidRDefault="00085EF1" w:rsidP="00676B8E">
            <w:pPr>
              <w:rPr>
                <w:rFonts w:cs="Calibri"/>
                <w:szCs w:val="22"/>
              </w:rPr>
            </w:pPr>
          </w:p>
          <w:p w:rsidR="00085EF1" w:rsidRDefault="00085EF1" w:rsidP="00676B8E">
            <w:pPr>
              <w:rPr>
                <w:rFonts w:cs="Calibri"/>
                <w:szCs w:val="22"/>
              </w:rPr>
            </w:pPr>
            <w:r>
              <w:rPr>
                <w:rFonts w:cs="Calibri"/>
                <w:szCs w:val="22"/>
              </w:rPr>
              <w:t>Projektna naloga</w:t>
            </w:r>
          </w:p>
          <w:p w:rsidR="00085EF1" w:rsidRPr="00434B8B" w:rsidRDefault="00085EF1" w:rsidP="00676B8E">
            <w:pPr>
              <w:rPr>
                <w:rFonts w:cs="Calibri"/>
              </w:rPr>
            </w:pPr>
            <w:r>
              <w:rPr>
                <w:rFonts w:cs="Calibri"/>
                <w:szCs w:val="22"/>
              </w:rPr>
              <w:t>Predstavitev</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085EF1" w:rsidRDefault="00085EF1" w:rsidP="00085EF1">
            <w:pPr>
              <w:rPr>
                <w:rFonts w:cs="Calibri"/>
                <w:b/>
              </w:rPr>
            </w:pPr>
          </w:p>
          <w:p w:rsidR="00085EF1" w:rsidRDefault="00085EF1" w:rsidP="00085EF1">
            <w:pPr>
              <w:rPr>
                <w:rFonts w:cs="Calibri"/>
                <w:b/>
              </w:rPr>
            </w:pPr>
          </w:p>
          <w:p w:rsidR="00085EF1" w:rsidRDefault="00085EF1" w:rsidP="00085EF1">
            <w:pPr>
              <w:rPr>
                <w:rFonts w:cs="Calibri"/>
                <w:b/>
              </w:rPr>
            </w:pPr>
          </w:p>
          <w:p w:rsidR="00085EF1" w:rsidRDefault="00085EF1" w:rsidP="00085EF1">
            <w:pPr>
              <w:rPr>
                <w:rFonts w:cs="Calibri"/>
                <w:b/>
              </w:rPr>
            </w:pPr>
          </w:p>
          <w:p w:rsidR="00085EF1" w:rsidRDefault="00085EF1" w:rsidP="00085EF1">
            <w:pPr>
              <w:rPr>
                <w:rFonts w:cs="Calibri"/>
                <w:b/>
              </w:rPr>
            </w:pPr>
          </w:p>
          <w:p w:rsidR="00085EF1" w:rsidRDefault="00085EF1" w:rsidP="00085EF1">
            <w:pPr>
              <w:rPr>
                <w:rFonts w:cs="Calibri"/>
                <w:b/>
              </w:rPr>
            </w:pPr>
          </w:p>
          <w:p w:rsidR="00085EF1" w:rsidRDefault="00085EF1" w:rsidP="00085EF1">
            <w:pPr>
              <w:rPr>
                <w:rFonts w:cs="Calibri"/>
                <w:b/>
              </w:rPr>
            </w:pPr>
          </w:p>
          <w:p w:rsidR="00085EF1" w:rsidRDefault="00085EF1" w:rsidP="00085EF1">
            <w:pPr>
              <w:rPr>
                <w:rFonts w:cs="Calibri"/>
                <w:b/>
              </w:rPr>
            </w:pPr>
          </w:p>
          <w:p w:rsidR="00085EF1" w:rsidRDefault="00085EF1" w:rsidP="00085EF1">
            <w:pPr>
              <w:rPr>
                <w:rFonts w:cs="Calibri"/>
                <w:b/>
              </w:rPr>
            </w:pPr>
          </w:p>
          <w:p w:rsidR="00085EF1" w:rsidRDefault="00085EF1" w:rsidP="00085EF1">
            <w:pPr>
              <w:rPr>
                <w:rFonts w:cs="Calibri"/>
                <w:b/>
              </w:rPr>
            </w:pPr>
          </w:p>
          <w:p w:rsidR="00085EF1" w:rsidRDefault="00085EF1" w:rsidP="00085EF1">
            <w:pPr>
              <w:jc w:val="center"/>
              <w:rPr>
                <w:rFonts w:cs="Calibri"/>
              </w:rPr>
            </w:pPr>
          </w:p>
          <w:p w:rsidR="00D06E61" w:rsidRPr="00085EF1" w:rsidRDefault="00085EF1" w:rsidP="00085EF1">
            <w:pPr>
              <w:jc w:val="center"/>
              <w:rPr>
                <w:rFonts w:cs="Calibri"/>
              </w:rPr>
            </w:pPr>
            <w:r w:rsidRPr="00085EF1">
              <w:rPr>
                <w:rFonts w:cs="Calibri"/>
              </w:rPr>
              <w:t>70%</w:t>
            </w:r>
          </w:p>
          <w:p w:rsidR="00085EF1" w:rsidRDefault="00085EF1" w:rsidP="00085EF1">
            <w:pPr>
              <w:jc w:val="center"/>
              <w:rPr>
                <w:rFonts w:cs="Calibri"/>
                <w:b/>
              </w:rPr>
            </w:pPr>
            <w:r w:rsidRPr="00085EF1">
              <w:rPr>
                <w:rFonts w:cs="Calibri"/>
              </w:rPr>
              <w:t>30%</w:t>
            </w:r>
          </w:p>
        </w:tc>
        <w:tc>
          <w:tcPr>
            <w:tcW w:w="4112" w:type="dxa"/>
            <w:tcBorders>
              <w:top w:val="single" w:sz="4" w:space="0" w:color="auto"/>
              <w:left w:val="single" w:sz="4" w:space="0" w:color="auto"/>
              <w:bottom w:val="single" w:sz="4" w:space="0" w:color="auto"/>
              <w:right w:val="single" w:sz="4" w:space="0" w:color="auto"/>
            </w:tcBorders>
            <w:hideMark/>
          </w:tcPr>
          <w:p w:rsidR="00D60066" w:rsidRPr="00085EF1" w:rsidRDefault="00085EF1">
            <w:pPr>
              <w:rPr>
                <w:rFonts w:cs="Calibri"/>
                <w:lang w:val="en-US"/>
              </w:rPr>
            </w:pPr>
            <w:r w:rsidRPr="00085EF1">
              <w:rPr>
                <w:rFonts w:cs="Calibri"/>
                <w:szCs w:val="22"/>
                <w:lang w:val="en-US"/>
              </w:rPr>
              <w:lastRenderedPageBreak/>
              <w:t>Written</w:t>
            </w:r>
            <w:r w:rsidR="00173DF1" w:rsidRPr="00085EF1">
              <w:rPr>
                <w:rFonts w:cs="Calibri"/>
                <w:szCs w:val="22"/>
                <w:lang w:val="en-US"/>
              </w:rPr>
              <w:t xml:space="preserve"> report (article), oral public presentation.</w:t>
            </w:r>
          </w:p>
          <w:p w:rsidR="00173DF1" w:rsidRPr="00085EF1" w:rsidRDefault="00173DF1">
            <w:pPr>
              <w:rPr>
                <w:rFonts w:cs="Calibri"/>
                <w:lang w:val="en-US"/>
              </w:rPr>
            </w:pPr>
            <w:r w:rsidRPr="00085EF1">
              <w:rPr>
                <w:rFonts w:cs="Calibri"/>
                <w:szCs w:val="22"/>
                <w:lang w:val="en-US"/>
              </w:rPr>
              <w:t xml:space="preserve">The group of teachers and </w:t>
            </w:r>
            <w:r w:rsidR="00085EF1" w:rsidRPr="00085EF1">
              <w:rPr>
                <w:rFonts w:cs="Calibri"/>
                <w:szCs w:val="22"/>
                <w:lang w:val="en-US"/>
              </w:rPr>
              <w:t>assistants</w:t>
            </w:r>
            <w:r w:rsidRPr="00085EF1">
              <w:rPr>
                <w:rFonts w:cs="Calibri"/>
                <w:szCs w:val="22"/>
                <w:lang w:val="en-US"/>
              </w:rPr>
              <w:t xml:space="preserve"> is evaluating the written report (article) and public presentation in a way that is established for conferences (peer review)</w:t>
            </w:r>
          </w:p>
          <w:p w:rsidR="00020831" w:rsidRDefault="00173DF1" w:rsidP="00434B8B">
            <w:pPr>
              <w:rPr>
                <w:rFonts w:cs="Calibri"/>
                <w:szCs w:val="22"/>
                <w:lang w:val="en-US"/>
              </w:rPr>
            </w:pPr>
            <w:r w:rsidRPr="00085EF1">
              <w:rPr>
                <w:rFonts w:cs="Calibri"/>
                <w:szCs w:val="22"/>
                <w:lang w:val="en-US"/>
              </w:rPr>
              <w:t xml:space="preserve">Scoring: from 6 to 10 positive, from 1 to </w:t>
            </w:r>
            <w:r w:rsidRPr="00085EF1">
              <w:rPr>
                <w:rFonts w:cs="Calibri"/>
                <w:szCs w:val="22"/>
                <w:lang w:val="en-US"/>
              </w:rPr>
              <w:lastRenderedPageBreak/>
              <w:t>5 negative.</w:t>
            </w:r>
          </w:p>
          <w:p w:rsidR="00085EF1" w:rsidRPr="000C0447" w:rsidRDefault="00085EF1" w:rsidP="00085EF1">
            <w:pPr>
              <w:rPr>
                <w:rFonts w:cs="Calibri"/>
                <w:lang w:val="en-GB"/>
              </w:rPr>
            </w:pPr>
            <w:r w:rsidRPr="000C0447">
              <w:rPr>
                <w:rFonts w:cs="Calibri"/>
                <w:lang w:val="en-GB"/>
              </w:rPr>
              <w:t>Contributions to final grade:</w:t>
            </w:r>
          </w:p>
          <w:p w:rsidR="00085EF1" w:rsidRDefault="00085EF1" w:rsidP="00434B8B">
            <w:pPr>
              <w:rPr>
                <w:rFonts w:cs="Calibri"/>
                <w:lang w:val="en-US"/>
              </w:rPr>
            </w:pPr>
          </w:p>
          <w:p w:rsidR="00085EF1" w:rsidRPr="00085EF1" w:rsidRDefault="00085EF1" w:rsidP="00434B8B">
            <w:pPr>
              <w:rPr>
                <w:rFonts w:cs="Calibri"/>
                <w:lang w:val="en-US"/>
              </w:rPr>
            </w:pPr>
            <w:r w:rsidRPr="00085EF1">
              <w:rPr>
                <w:rFonts w:cs="Calibri"/>
                <w:lang w:val="en-US"/>
              </w:rPr>
              <w:t>Project</w:t>
            </w:r>
          </w:p>
          <w:p w:rsidR="00085EF1" w:rsidRPr="00085EF1" w:rsidRDefault="00085EF1" w:rsidP="00434B8B">
            <w:pPr>
              <w:rPr>
                <w:rFonts w:cs="Calibri"/>
                <w:b/>
                <w:lang w:val="en-US"/>
              </w:rPr>
            </w:pPr>
            <w:r w:rsidRPr="00085EF1">
              <w:rPr>
                <w:rFonts w:cs="Calibri"/>
                <w:lang w:val="en-US"/>
              </w:rPr>
              <w:t>Presentation</w:t>
            </w:r>
          </w:p>
        </w:tc>
      </w:tr>
      <w:tr w:rsidR="00D60066" w:rsidTr="00D60066">
        <w:tc>
          <w:tcPr>
            <w:tcW w:w="9695" w:type="dxa"/>
            <w:gridSpan w:val="6"/>
            <w:tcBorders>
              <w:top w:val="single" w:sz="4" w:space="0" w:color="auto"/>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 xml:space="preserve">Reference nosilca / </w:t>
            </w:r>
            <w:proofErr w:type="spellStart"/>
            <w:r>
              <w:rPr>
                <w:rFonts w:cs="Calibri"/>
                <w:b/>
                <w:szCs w:val="22"/>
              </w:rPr>
              <w:t>Lecturer's</w:t>
            </w:r>
            <w:proofErr w:type="spellEnd"/>
            <w:r>
              <w:rPr>
                <w:rFonts w:cs="Calibri"/>
                <w:b/>
                <w:szCs w:val="22"/>
              </w:rPr>
              <w:t xml:space="preserve"> </w:t>
            </w:r>
            <w:proofErr w:type="spellStart"/>
            <w:r>
              <w:rPr>
                <w:rFonts w:cs="Calibri"/>
                <w:b/>
                <w:szCs w:val="22"/>
              </w:rPr>
              <w:t>references</w:t>
            </w:r>
            <w:proofErr w:type="spellEnd"/>
            <w:r>
              <w:rPr>
                <w:rFonts w:cs="Calibri"/>
                <w:b/>
                <w:szCs w:val="22"/>
              </w:rPr>
              <w:t xml:space="preserve">: </w:t>
            </w:r>
          </w:p>
        </w:tc>
      </w:tr>
      <w:tr w:rsidR="00D60066" w:rsidTr="00D60066">
        <w:tc>
          <w:tcPr>
            <w:tcW w:w="9695" w:type="dxa"/>
            <w:gridSpan w:val="6"/>
            <w:tcBorders>
              <w:top w:val="single" w:sz="4" w:space="0" w:color="auto"/>
              <w:left w:val="single" w:sz="4" w:space="0" w:color="auto"/>
              <w:bottom w:val="single" w:sz="4" w:space="0" w:color="auto"/>
              <w:right w:val="single" w:sz="4" w:space="0" w:color="auto"/>
            </w:tcBorders>
          </w:tcPr>
          <w:p w:rsidR="0071555D" w:rsidRPr="00085EF1" w:rsidRDefault="0071555D" w:rsidP="00085EF1">
            <w:pPr>
              <w:pStyle w:val="ListParagraph"/>
              <w:numPr>
                <w:ilvl w:val="0"/>
                <w:numId w:val="3"/>
              </w:numPr>
              <w:ind w:left="426"/>
              <w:rPr>
                <w:rFonts w:cs="Calibri"/>
              </w:rPr>
            </w:pPr>
            <w:r w:rsidRPr="00085EF1">
              <w:rPr>
                <w:rFonts w:cs="Calibri"/>
              </w:rPr>
              <w:t xml:space="preserve">REJC, Jure, KOVAČIČ, Franc, TRPIN, Anton, TURK, Igor, ŠTRUS, Miran, REJC, Danilo, OBID, Pavle, MUNIH, Marko. </w:t>
            </w:r>
            <w:proofErr w:type="spellStart"/>
            <w:r w:rsidRPr="00085EF1">
              <w:rPr>
                <w:rFonts w:cs="Calibri"/>
              </w:rPr>
              <w:t>The</w:t>
            </w:r>
            <w:proofErr w:type="spellEnd"/>
            <w:r w:rsidRPr="00085EF1">
              <w:rPr>
                <w:rFonts w:cs="Calibri"/>
              </w:rPr>
              <w:t xml:space="preserve"> </w:t>
            </w:r>
            <w:proofErr w:type="spellStart"/>
            <w:r w:rsidRPr="00085EF1">
              <w:rPr>
                <w:rFonts w:cs="Calibri"/>
              </w:rPr>
              <w:t>mechanical</w:t>
            </w:r>
            <w:proofErr w:type="spellEnd"/>
            <w:r w:rsidRPr="00085EF1">
              <w:rPr>
                <w:rFonts w:cs="Calibri"/>
              </w:rPr>
              <w:t xml:space="preserve"> </w:t>
            </w:r>
            <w:proofErr w:type="spellStart"/>
            <w:r w:rsidRPr="00085EF1">
              <w:rPr>
                <w:rFonts w:cs="Calibri"/>
              </w:rPr>
              <w:t>assembly</w:t>
            </w:r>
            <w:proofErr w:type="spellEnd"/>
            <w:r w:rsidRPr="00085EF1">
              <w:rPr>
                <w:rFonts w:cs="Calibri"/>
              </w:rPr>
              <w:t xml:space="preserve"> </w:t>
            </w:r>
            <w:proofErr w:type="spellStart"/>
            <w:r w:rsidRPr="00085EF1">
              <w:rPr>
                <w:rFonts w:cs="Calibri"/>
              </w:rPr>
              <w:t>dimensional</w:t>
            </w:r>
            <w:proofErr w:type="spellEnd"/>
            <w:r w:rsidRPr="00085EF1">
              <w:rPr>
                <w:rFonts w:cs="Calibri"/>
              </w:rPr>
              <w:t xml:space="preserve"> </w:t>
            </w:r>
            <w:proofErr w:type="spellStart"/>
            <w:r w:rsidRPr="00085EF1">
              <w:rPr>
                <w:rFonts w:cs="Calibri"/>
              </w:rPr>
              <w:t>measurements</w:t>
            </w:r>
            <w:proofErr w:type="spellEnd"/>
            <w:r w:rsidRPr="00085EF1">
              <w:rPr>
                <w:rFonts w:cs="Calibri"/>
              </w:rPr>
              <w:t xml:space="preserve"> </w:t>
            </w:r>
            <w:proofErr w:type="spellStart"/>
            <w:r w:rsidRPr="00085EF1">
              <w:rPr>
                <w:rFonts w:cs="Calibri"/>
              </w:rPr>
              <w:t>with</w:t>
            </w:r>
            <w:proofErr w:type="spellEnd"/>
            <w:r w:rsidRPr="00085EF1">
              <w:rPr>
                <w:rFonts w:cs="Calibri"/>
              </w:rPr>
              <w:t xml:space="preserve"> </w:t>
            </w:r>
            <w:proofErr w:type="spellStart"/>
            <w:r w:rsidRPr="00085EF1">
              <w:rPr>
                <w:rFonts w:cs="Calibri"/>
              </w:rPr>
              <w:t>the</w:t>
            </w:r>
            <w:proofErr w:type="spellEnd"/>
            <w:r w:rsidRPr="00085EF1">
              <w:rPr>
                <w:rFonts w:cs="Calibri"/>
              </w:rPr>
              <w:t xml:space="preserve"> </w:t>
            </w:r>
            <w:proofErr w:type="spellStart"/>
            <w:r w:rsidRPr="00085EF1">
              <w:rPr>
                <w:rFonts w:cs="Calibri"/>
              </w:rPr>
              <w:t>automated</w:t>
            </w:r>
            <w:proofErr w:type="spellEnd"/>
            <w:r w:rsidRPr="00085EF1">
              <w:rPr>
                <w:rFonts w:cs="Calibri"/>
              </w:rPr>
              <w:t xml:space="preserve"> </w:t>
            </w:r>
            <w:proofErr w:type="spellStart"/>
            <w:r w:rsidRPr="00085EF1">
              <w:rPr>
                <w:rFonts w:cs="Calibri"/>
              </w:rPr>
              <w:t>visual</w:t>
            </w:r>
            <w:proofErr w:type="spellEnd"/>
            <w:r w:rsidRPr="00085EF1">
              <w:rPr>
                <w:rFonts w:cs="Calibri"/>
              </w:rPr>
              <w:t xml:space="preserve"> </w:t>
            </w:r>
            <w:proofErr w:type="spellStart"/>
            <w:r w:rsidRPr="00085EF1">
              <w:rPr>
                <w:rFonts w:cs="Calibri"/>
              </w:rPr>
              <w:t>inspection</w:t>
            </w:r>
            <w:proofErr w:type="spellEnd"/>
            <w:r w:rsidRPr="00085EF1">
              <w:rPr>
                <w:rFonts w:cs="Calibri"/>
              </w:rPr>
              <w:t xml:space="preserve"> </w:t>
            </w:r>
            <w:proofErr w:type="spellStart"/>
            <w:r w:rsidRPr="00085EF1">
              <w:rPr>
                <w:rFonts w:cs="Calibri"/>
              </w:rPr>
              <w:t>system</w:t>
            </w:r>
            <w:proofErr w:type="spellEnd"/>
            <w:r w:rsidRPr="00085EF1">
              <w:rPr>
                <w:rFonts w:cs="Calibri"/>
              </w:rPr>
              <w:t xml:space="preserve">. </w:t>
            </w:r>
            <w:proofErr w:type="spellStart"/>
            <w:r w:rsidRPr="00085EF1">
              <w:rPr>
                <w:rFonts w:cs="Calibri"/>
              </w:rPr>
              <w:t>Expert</w:t>
            </w:r>
            <w:proofErr w:type="spellEnd"/>
            <w:r w:rsidRPr="00085EF1">
              <w:rPr>
                <w:rFonts w:cs="Calibri"/>
              </w:rPr>
              <w:t xml:space="preserve"> </w:t>
            </w:r>
            <w:proofErr w:type="spellStart"/>
            <w:r w:rsidRPr="00085EF1">
              <w:rPr>
                <w:rFonts w:cs="Calibri"/>
              </w:rPr>
              <w:t>syst</w:t>
            </w:r>
            <w:proofErr w:type="spellEnd"/>
            <w:r w:rsidRPr="00085EF1">
              <w:rPr>
                <w:rFonts w:cs="Calibri"/>
              </w:rPr>
              <w:t xml:space="preserve">. </w:t>
            </w:r>
            <w:proofErr w:type="spellStart"/>
            <w:r w:rsidRPr="00085EF1">
              <w:rPr>
                <w:rFonts w:cs="Calibri"/>
              </w:rPr>
              <w:t>appl</w:t>
            </w:r>
            <w:proofErr w:type="spellEnd"/>
            <w:r w:rsidRPr="00085EF1">
              <w:rPr>
                <w:rFonts w:cs="Calibri"/>
              </w:rPr>
              <w:t>., 2011, vol. 38, no. 8, str. 10665-10675.</w:t>
            </w:r>
          </w:p>
          <w:p w:rsidR="0071555D" w:rsidRPr="00085EF1" w:rsidRDefault="0071555D" w:rsidP="00085EF1">
            <w:pPr>
              <w:pStyle w:val="ListParagraph"/>
              <w:numPr>
                <w:ilvl w:val="0"/>
                <w:numId w:val="3"/>
              </w:numPr>
              <w:ind w:left="426"/>
              <w:rPr>
                <w:rFonts w:cs="Calibri"/>
              </w:rPr>
            </w:pPr>
            <w:r w:rsidRPr="00085EF1">
              <w:rPr>
                <w:rFonts w:cs="Calibri"/>
              </w:rPr>
              <w:t xml:space="preserve">ČINKELJ, Justin, KAMNIK, Roman, ČEPON, Peter, MIHELJ, Matjaž, MUNIH, Marko. </w:t>
            </w:r>
            <w:proofErr w:type="spellStart"/>
            <w:r w:rsidRPr="00085EF1">
              <w:rPr>
                <w:rFonts w:cs="Calibri"/>
              </w:rPr>
              <w:t>Closed-loop</w:t>
            </w:r>
            <w:proofErr w:type="spellEnd"/>
            <w:r w:rsidRPr="00085EF1">
              <w:rPr>
                <w:rFonts w:cs="Calibri"/>
              </w:rPr>
              <w:t xml:space="preserve"> </w:t>
            </w:r>
            <w:proofErr w:type="spellStart"/>
            <w:r w:rsidRPr="00085EF1">
              <w:rPr>
                <w:rFonts w:cs="Calibri"/>
              </w:rPr>
              <w:t>control</w:t>
            </w:r>
            <w:proofErr w:type="spellEnd"/>
            <w:r w:rsidRPr="00085EF1">
              <w:rPr>
                <w:rFonts w:cs="Calibri"/>
              </w:rPr>
              <w:t xml:space="preserve"> </w:t>
            </w:r>
            <w:proofErr w:type="spellStart"/>
            <w:r w:rsidRPr="00085EF1">
              <w:rPr>
                <w:rFonts w:cs="Calibri"/>
              </w:rPr>
              <w:t>of</w:t>
            </w:r>
            <w:proofErr w:type="spellEnd"/>
            <w:r w:rsidRPr="00085EF1">
              <w:rPr>
                <w:rFonts w:cs="Calibri"/>
              </w:rPr>
              <w:t xml:space="preserve"> </w:t>
            </w:r>
            <w:proofErr w:type="spellStart"/>
            <w:r w:rsidRPr="00085EF1">
              <w:rPr>
                <w:rFonts w:cs="Calibri"/>
              </w:rPr>
              <w:t>hydraulic</w:t>
            </w:r>
            <w:proofErr w:type="spellEnd"/>
            <w:r w:rsidRPr="00085EF1">
              <w:rPr>
                <w:rFonts w:cs="Calibri"/>
              </w:rPr>
              <w:t xml:space="preserve"> </w:t>
            </w:r>
            <w:proofErr w:type="spellStart"/>
            <w:r w:rsidRPr="00085EF1">
              <w:rPr>
                <w:rFonts w:cs="Calibri"/>
              </w:rPr>
              <w:t>telescopic</w:t>
            </w:r>
            <w:proofErr w:type="spellEnd"/>
            <w:r w:rsidRPr="00085EF1">
              <w:rPr>
                <w:rFonts w:cs="Calibri"/>
              </w:rPr>
              <w:t xml:space="preserve"> </w:t>
            </w:r>
            <w:proofErr w:type="spellStart"/>
            <w:r w:rsidRPr="00085EF1">
              <w:rPr>
                <w:rFonts w:cs="Calibri"/>
              </w:rPr>
              <w:t>handler</w:t>
            </w:r>
            <w:proofErr w:type="spellEnd"/>
            <w:r w:rsidRPr="00085EF1">
              <w:rPr>
                <w:rFonts w:cs="Calibri"/>
              </w:rPr>
              <w:t xml:space="preserve">. </w:t>
            </w:r>
            <w:proofErr w:type="spellStart"/>
            <w:r w:rsidRPr="00085EF1">
              <w:rPr>
                <w:rFonts w:cs="Calibri"/>
              </w:rPr>
              <w:t>Autom</w:t>
            </w:r>
            <w:proofErr w:type="spellEnd"/>
            <w:r w:rsidRPr="00085EF1">
              <w:rPr>
                <w:rFonts w:cs="Calibri"/>
              </w:rPr>
              <w:t xml:space="preserve">. </w:t>
            </w:r>
            <w:proofErr w:type="spellStart"/>
            <w:r w:rsidRPr="00085EF1">
              <w:rPr>
                <w:rFonts w:cs="Calibri"/>
              </w:rPr>
              <w:t>constr</w:t>
            </w:r>
            <w:proofErr w:type="spellEnd"/>
            <w:r w:rsidRPr="00085EF1">
              <w:rPr>
                <w:rFonts w:cs="Calibri"/>
              </w:rPr>
              <w:t>., 2010, vol. 19, no. 7, str. 954-963.</w:t>
            </w:r>
          </w:p>
          <w:p w:rsidR="0071555D" w:rsidRPr="00085EF1" w:rsidRDefault="0071555D" w:rsidP="00085EF1">
            <w:pPr>
              <w:pStyle w:val="ListParagraph"/>
              <w:numPr>
                <w:ilvl w:val="0"/>
                <w:numId w:val="3"/>
              </w:numPr>
              <w:ind w:left="426"/>
              <w:rPr>
                <w:rFonts w:cs="Calibri"/>
              </w:rPr>
            </w:pPr>
            <w:r w:rsidRPr="00085EF1">
              <w:rPr>
                <w:rFonts w:cs="Calibri"/>
              </w:rPr>
              <w:t xml:space="preserve">MIKLAVEC, Andraž, PUŠNIK, Igor, BATAGELJ, Valentin, DRNOVŠEK, Janko. A large aperture </w:t>
            </w:r>
            <w:proofErr w:type="spellStart"/>
            <w:r w:rsidRPr="00085EF1">
              <w:rPr>
                <w:rFonts w:cs="Calibri"/>
              </w:rPr>
              <w:t>blackbody</w:t>
            </w:r>
            <w:proofErr w:type="spellEnd"/>
            <w:r w:rsidRPr="00085EF1">
              <w:rPr>
                <w:rFonts w:cs="Calibri"/>
              </w:rPr>
              <w:t xml:space="preserve"> </w:t>
            </w:r>
            <w:proofErr w:type="spellStart"/>
            <w:r w:rsidRPr="00085EF1">
              <w:rPr>
                <w:rFonts w:cs="Calibri"/>
              </w:rPr>
              <w:t>bath</w:t>
            </w:r>
            <w:proofErr w:type="spellEnd"/>
            <w:r w:rsidRPr="00085EF1">
              <w:rPr>
                <w:rFonts w:cs="Calibri"/>
              </w:rPr>
              <w:t xml:space="preserve"> </w:t>
            </w:r>
            <w:proofErr w:type="spellStart"/>
            <w:r w:rsidRPr="00085EF1">
              <w:rPr>
                <w:rFonts w:cs="Calibri"/>
              </w:rPr>
              <w:t>for</w:t>
            </w:r>
            <w:proofErr w:type="spellEnd"/>
            <w:r w:rsidRPr="00085EF1">
              <w:rPr>
                <w:rFonts w:cs="Calibri"/>
              </w:rPr>
              <w:t xml:space="preserve"> </w:t>
            </w:r>
            <w:proofErr w:type="spellStart"/>
            <w:r w:rsidRPr="00085EF1">
              <w:rPr>
                <w:rFonts w:cs="Calibri"/>
              </w:rPr>
              <w:t>calibration</w:t>
            </w:r>
            <w:proofErr w:type="spellEnd"/>
            <w:r w:rsidRPr="00085EF1">
              <w:rPr>
                <w:rFonts w:cs="Calibri"/>
              </w:rPr>
              <w:t xml:space="preserve"> </w:t>
            </w:r>
            <w:proofErr w:type="spellStart"/>
            <w:r w:rsidRPr="00085EF1">
              <w:rPr>
                <w:rFonts w:cs="Calibri"/>
              </w:rPr>
              <w:t>of</w:t>
            </w:r>
            <w:proofErr w:type="spellEnd"/>
            <w:r w:rsidRPr="00085EF1">
              <w:rPr>
                <w:rFonts w:cs="Calibri"/>
              </w:rPr>
              <w:t xml:space="preserve"> </w:t>
            </w:r>
            <w:proofErr w:type="spellStart"/>
            <w:r w:rsidRPr="00085EF1">
              <w:rPr>
                <w:rFonts w:cs="Calibri"/>
              </w:rPr>
              <w:t>thermal</w:t>
            </w:r>
            <w:proofErr w:type="spellEnd"/>
            <w:r w:rsidRPr="00085EF1">
              <w:rPr>
                <w:rFonts w:cs="Calibri"/>
              </w:rPr>
              <w:t xml:space="preserve"> </w:t>
            </w:r>
            <w:proofErr w:type="spellStart"/>
            <w:r w:rsidRPr="00085EF1">
              <w:rPr>
                <w:rFonts w:cs="Calibri"/>
              </w:rPr>
              <w:t>imagers</w:t>
            </w:r>
            <w:proofErr w:type="spellEnd"/>
            <w:r w:rsidRPr="00085EF1">
              <w:rPr>
                <w:rFonts w:cs="Calibri"/>
              </w:rPr>
              <w:t xml:space="preserve">. </w:t>
            </w:r>
            <w:proofErr w:type="spellStart"/>
            <w:r w:rsidRPr="00085EF1">
              <w:rPr>
                <w:rFonts w:cs="Calibri"/>
              </w:rPr>
              <w:t>Meas</w:t>
            </w:r>
            <w:proofErr w:type="spellEnd"/>
            <w:r w:rsidRPr="00085EF1">
              <w:rPr>
                <w:rFonts w:cs="Calibri"/>
              </w:rPr>
              <w:t xml:space="preserve">. </w:t>
            </w:r>
            <w:proofErr w:type="spellStart"/>
            <w:r w:rsidRPr="00085EF1">
              <w:rPr>
                <w:rFonts w:cs="Calibri"/>
              </w:rPr>
              <w:t>sci</w:t>
            </w:r>
            <w:proofErr w:type="spellEnd"/>
            <w:r w:rsidRPr="00085EF1">
              <w:rPr>
                <w:rFonts w:cs="Calibri"/>
              </w:rPr>
              <w:t xml:space="preserve">. </w:t>
            </w:r>
            <w:proofErr w:type="spellStart"/>
            <w:r w:rsidRPr="00085EF1">
              <w:rPr>
                <w:rFonts w:cs="Calibri"/>
              </w:rPr>
              <w:t>technol</w:t>
            </w:r>
            <w:proofErr w:type="spellEnd"/>
            <w:r w:rsidRPr="00085EF1">
              <w:rPr>
                <w:rFonts w:cs="Calibri"/>
              </w:rPr>
              <w:t>., 2013, vol. 2, no. 24, str. 1-8.</w:t>
            </w:r>
          </w:p>
          <w:p w:rsidR="0071555D" w:rsidRPr="00085EF1" w:rsidRDefault="0071555D" w:rsidP="00085EF1">
            <w:pPr>
              <w:pStyle w:val="ListParagraph"/>
              <w:numPr>
                <w:ilvl w:val="0"/>
                <w:numId w:val="3"/>
              </w:numPr>
              <w:ind w:left="426"/>
              <w:rPr>
                <w:rFonts w:cs="Calibri"/>
              </w:rPr>
            </w:pPr>
            <w:r w:rsidRPr="00085EF1">
              <w:rPr>
                <w:rFonts w:cs="Calibri"/>
              </w:rPr>
              <w:t xml:space="preserve">BOJKOVSKI, Jovan, VELIKI, Tomislav, ZVIZDIĆ, Davor, DRNOVŠEK, Janko. </w:t>
            </w:r>
            <w:proofErr w:type="spellStart"/>
            <w:r w:rsidRPr="00085EF1">
              <w:rPr>
                <w:rFonts w:cs="Calibri"/>
              </w:rPr>
              <w:t>Bilateral</w:t>
            </w:r>
            <w:proofErr w:type="spellEnd"/>
            <w:r w:rsidRPr="00085EF1">
              <w:rPr>
                <w:rFonts w:cs="Calibri"/>
              </w:rPr>
              <w:t xml:space="preserve"> </w:t>
            </w:r>
            <w:proofErr w:type="spellStart"/>
            <w:r w:rsidRPr="00085EF1">
              <w:rPr>
                <w:rFonts w:cs="Calibri"/>
              </w:rPr>
              <w:t>comparison</w:t>
            </w:r>
            <w:proofErr w:type="spellEnd"/>
            <w:r w:rsidRPr="00085EF1">
              <w:rPr>
                <w:rFonts w:cs="Calibri"/>
              </w:rPr>
              <w:t xml:space="preserve"> </w:t>
            </w:r>
            <w:proofErr w:type="spellStart"/>
            <w:r w:rsidRPr="00085EF1">
              <w:rPr>
                <w:rFonts w:cs="Calibri"/>
              </w:rPr>
              <w:t>of</w:t>
            </w:r>
            <w:proofErr w:type="spellEnd"/>
            <w:r w:rsidRPr="00085EF1">
              <w:rPr>
                <w:rFonts w:cs="Calibri"/>
              </w:rPr>
              <w:t xml:space="preserve"> </w:t>
            </w:r>
            <w:proofErr w:type="spellStart"/>
            <w:r w:rsidRPr="00085EF1">
              <w:rPr>
                <w:rFonts w:cs="Calibri"/>
              </w:rPr>
              <w:t>mercury</w:t>
            </w:r>
            <w:proofErr w:type="spellEnd"/>
            <w:r w:rsidRPr="00085EF1">
              <w:rPr>
                <w:rFonts w:cs="Calibri"/>
              </w:rPr>
              <w:t xml:space="preserve"> </w:t>
            </w:r>
            <w:proofErr w:type="spellStart"/>
            <w:r w:rsidRPr="00085EF1">
              <w:rPr>
                <w:rFonts w:cs="Calibri"/>
              </w:rPr>
              <w:t>and</w:t>
            </w:r>
            <w:proofErr w:type="spellEnd"/>
            <w:r w:rsidRPr="00085EF1">
              <w:rPr>
                <w:rFonts w:cs="Calibri"/>
              </w:rPr>
              <w:t xml:space="preserve"> </w:t>
            </w:r>
            <w:proofErr w:type="spellStart"/>
            <w:r w:rsidRPr="00085EF1">
              <w:rPr>
                <w:rFonts w:cs="Calibri"/>
              </w:rPr>
              <w:t>gallium</w:t>
            </w:r>
            <w:proofErr w:type="spellEnd"/>
            <w:r w:rsidRPr="00085EF1">
              <w:rPr>
                <w:rFonts w:cs="Calibri"/>
              </w:rPr>
              <w:t xml:space="preserve"> </w:t>
            </w:r>
            <w:proofErr w:type="spellStart"/>
            <w:r w:rsidRPr="00085EF1">
              <w:rPr>
                <w:rFonts w:cs="Calibri"/>
              </w:rPr>
              <w:t>fixed-point</w:t>
            </w:r>
            <w:proofErr w:type="spellEnd"/>
            <w:r w:rsidRPr="00085EF1">
              <w:rPr>
                <w:rFonts w:cs="Calibri"/>
              </w:rPr>
              <w:t xml:space="preserve"> </w:t>
            </w:r>
            <w:proofErr w:type="spellStart"/>
            <w:r w:rsidRPr="00085EF1">
              <w:rPr>
                <w:rFonts w:cs="Calibri"/>
              </w:rPr>
              <w:t>cells</w:t>
            </w:r>
            <w:proofErr w:type="spellEnd"/>
            <w:r w:rsidRPr="00085EF1">
              <w:rPr>
                <w:rFonts w:cs="Calibri"/>
              </w:rPr>
              <w:t xml:space="preserve"> </w:t>
            </w:r>
            <w:proofErr w:type="spellStart"/>
            <w:r w:rsidRPr="00085EF1">
              <w:rPr>
                <w:rFonts w:cs="Calibri"/>
              </w:rPr>
              <w:t>using</w:t>
            </w:r>
            <w:proofErr w:type="spellEnd"/>
            <w:r w:rsidRPr="00085EF1">
              <w:rPr>
                <w:rFonts w:cs="Calibri"/>
              </w:rPr>
              <w:t xml:space="preserve"> standard </w:t>
            </w:r>
            <w:proofErr w:type="spellStart"/>
            <w:r w:rsidRPr="00085EF1">
              <w:rPr>
                <w:rFonts w:cs="Calibri"/>
              </w:rPr>
              <w:t>platinum</w:t>
            </w:r>
            <w:proofErr w:type="spellEnd"/>
            <w:r w:rsidRPr="00085EF1">
              <w:rPr>
                <w:rFonts w:cs="Calibri"/>
              </w:rPr>
              <w:t xml:space="preserve"> </w:t>
            </w:r>
            <w:proofErr w:type="spellStart"/>
            <w:r w:rsidRPr="00085EF1">
              <w:rPr>
                <w:rFonts w:cs="Calibri"/>
              </w:rPr>
              <w:t>resistance</w:t>
            </w:r>
            <w:proofErr w:type="spellEnd"/>
            <w:r w:rsidRPr="00085EF1">
              <w:rPr>
                <w:rFonts w:cs="Calibri"/>
              </w:rPr>
              <w:t xml:space="preserve"> </w:t>
            </w:r>
            <w:proofErr w:type="spellStart"/>
            <w:r w:rsidRPr="00085EF1">
              <w:rPr>
                <w:rFonts w:cs="Calibri"/>
              </w:rPr>
              <w:t>thermometer</w:t>
            </w:r>
            <w:proofErr w:type="spellEnd"/>
            <w:r w:rsidRPr="00085EF1">
              <w:rPr>
                <w:rFonts w:cs="Calibri"/>
              </w:rPr>
              <w:t xml:space="preserve">. </w:t>
            </w:r>
            <w:proofErr w:type="spellStart"/>
            <w:r w:rsidRPr="00085EF1">
              <w:rPr>
                <w:rFonts w:cs="Calibri"/>
              </w:rPr>
              <w:t>Int</w:t>
            </w:r>
            <w:proofErr w:type="spellEnd"/>
            <w:r w:rsidRPr="00085EF1">
              <w:rPr>
                <w:rFonts w:cs="Calibri"/>
              </w:rPr>
              <w:t xml:space="preserve">. j. </w:t>
            </w:r>
            <w:proofErr w:type="spellStart"/>
            <w:r w:rsidRPr="00085EF1">
              <w:rPr>
                <w:rFonts w:cs="Calibri"/>
              </w:rPr>
              <w:t>thermophys</w:t>
            </w:r>
            <w:proofErr w:type="spellEnd"/>
            <w:r w:rsidRPr="00085EF1">
              <w:rPr>
                <w:rFonts w:cs="Calibri"/>
              </w:rPr>
              <w:t>., 2011, vol. 32, no. 7/8, str. 1544-1552.</w:t>
            </w:r>
          </w:p>
          <w:p w:rsidR="00D60066" w:rsidRPr="00085EF1" w:rsidRDefault="0071555D" w:rsidP="00085EF1">
            <w:pPr>
              <w:pStyle w:val="ListParagraph"/>
              <w:numPr>
                <w:ilvl w:val="0"/>
                <w:numId w:val="3"/>
              </w:numPr>
              <w:ind w:left="426"/>
              <w:rPr>
                <w:rFonts w:cs="Calibri"/>
              </w:rPr>
            </w:pPr>
            <w:r w:rsidRPr="00085EF1">
              <w:rPr>
                <w:rFonts w:cs="Calibri"/>
              </w:rPr>
              <w:t xml:space="preserve">HITI, Miha, BOJKOVSKI, Jovan, BATAGELJ, Valentin, DRNOVŠEK, Janko. </w:t>
            </w:r>
            <w:proofErr w:type="spellStart"/>
            <w:r w:rsidRPr="00085EF1">
              <w:rPr>
                <w:rFonts w:cs="Calibri"/>
              </w:rPr>
              <w:t>Multizone</w:t>
            </w:r>
            <w:proofErr w:type="spellEnd"/>
            <w:r w:rsidRPr="00085EF1">
              <w:rPr>
                <w:rFonts w:cs="Calibri"/>
              </w:rPr>
              <w:t xml:space="preserve"> </w:t>
            </w:r>
            <w:proofErr w:type="spellStart"/>
            <w:r w:rsidRPr="00085EF1">
              <w:rPr>
                <w:rFonts w:cs="Calibri"/>
              </w:rPr>
              <w:t>furnace</w:t>
            </w:r>
            <w:proofErr w:type="spellEnd"/>
            <w:r w:rsidRPr="00085EF1">
              <w:rPr>
                <w:rFonts w:cs="Calibri"/>
              </w:rPr>
              <w:t xml:space="preserve"> </w:t>
            </w:r>
            <w:proofErr w:type="spellStart"/>
            <w:r w:rsidRPr="00085EF1">
              <w:rPr>
                <w:rFonts w:cs="Calibri"/>
              </w:rPr>
              <w:t>for</w:t>
            </w:r>
            <w:proofErr w:type="spellEnd"/>
            <w:r w:rsidRPr="00085EF1">
              <w:rPr>
                <w:rFonts w:cs="Calibri"/>
              </w:rPr>
              <w:t xml:space="preserve"> </w:t>
            </w:r>
            <w:proofErr w:type="spellStart"/>
            <w:r w:rsidRPr="00085EF1">
              <w:rPr>
                <w:rFonts w:cs="Calibri"/>
              </w:rPr>
              <w:t>analysis</w:t>
            </w:r>
            <w:proofErr w:type="spellEnd"/>
            <w:r w:rsidRPr="00085EF1">
              <w:rPr>
                <w:rFonts w:cs="Calibri"/>
              </w:rPr>
              <w:t xml:space="preserve"> </w:t>
            </w:r>
            <w:proofErr w:type="spellStart"/>
            <w:r w:rsidRPr="00085EF1">
              <w:rPr>
                <w:rFonts w:cs="Calibri"/>
              </w:rPr>
              <w:t>of</w:t>
            </w:r>
            <w:proofErr w:type="spellEnd"/>
            <w:r w:rsidRPr="00085EF1">
              <w:rPr>
                <w:rFonts w:cs="Calibri"/>
              </w:rPr>
              <w:t xml:space="preserve"> </w:t>
            </w:r>
            <w:proofErr w:type="spellStart"/>
            <w:r w:rsidRPr="00085EF1">
              <w:rPr>
                <w:rFonts w:cs="Calibri"/>
              </w:rPr>
              <w:t>fixed-point</w:t>
            </w:r>
            <w:proofErr w:type="spellEnd"/>
            <w:r w:rsidRPr="00085EF1">
              <w:rPr>
                <w:rFonts w:cs="Calibri"/>
              </w:rPr>
              <w:t xml:space="preserve"> </w:t>
            </w:r>
            <w:proofErr w:type="spellStart"/>
            <w:r w:rsidRPr="00085EF1">
              <w:rPr>
                <w:rFonts w:cs="Calibri"/>
              </w:rPr>
              <w:t>realizations</w:t>
            </w:r>
            <w:proofErr w:type="spellEnd"/>
            <w:r w:rsidRPr="00085EF1">
              <w:rPr>
                <w:rFonts w:cs="Calibri"/>
              </w:rPr>
              <w:t xml:space="preserve"> in </w:t>
            </w:r>
            <w:proofErr w:type="spellStart"/>
            <w:r w:rsidRPr="00085EF1">
              <w:rPr>
                <w:rFonts w:cs="Calibri"/>
              </w:rPr>
              <w:t>the</w:t>
            </w:r>
            <w:proofErr w:type="spellEnd"/>
            <w:r w:rsidRPr="00085EF1">
              <w:rPr>
                <w:rFonts w:cs="Calibri"/>
              </w:rPr>
              <w:t xml:space="preserve"> range </w:t>
            </w:r>
            <w:proofErr w:type="spellStart"/>
            <w:r w:rsidRPr="00085EF1">
              <w:rPr>
                <w:rFonts w:cs="Calibri"/>
              </w:rPr>
              <w:t>from</w:t>
            </w:r>
            <w:proofErr w:type="spellEnd"/>
            <w:r w:rsidRPr="00085EF1">
              <w:rPr>
                <w:rFonts w:cs="Calibri"/>
              </w:rPr>
              <w:t xml:space="preserve"> 1,000°C to 1,700°C. </w:t>
            </w:r>
            <w:proofErr w:type="spellStart"/>
            <w:r w:rsidRPr="00085EF1">
              <w:rPr>
                <w:rFonts w:cs="Calibri"/>
              </w:rPr>
              <w:t>Int</w:t>
            </w:r>
            <w:proofErr w:type="spellEnd"/>
            <w:r w:rsidRPr="00085EF1">
              <w:rPr>
                <w:rFonts w:cs="Calibri"/>
              </w:rPr>
              <w:t xml:space="preserve">. j. </w:t>
            </w:r>
            <w:proofErr w:type="spellStart"/>
            <w:r w:rsidRPr="00085EF1">
              <w:rPr>
                <w:rFonts w:cs="Calibri"/>
              </w:rPr>
              <w:t>thermophys</w:t>
            </w:r>
            <w:proofErr w:type="spellEnd"/>
            <w:r w:rsidRPr="00085EF1">
              <w:rPr>
                <w:rFonts w:cs="Calibri"/>
              </w:rPr>
              <w:t>., Feb. 2008, vol. 29, no. 1, str. 241-24.</w:t>
            </w:r>
          </w:p>
          <w:p w:rsidR="00D60066" w:rsidRDefault="00D60066">
            <w:pPr>
              <w:rPr>
                <w:rFonts w:cs="Calibri"/>
              </w:rPr>
            </w:pP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6333F3"/>
    <w:multiLevelType w:val="hybridMultilevel"/>
    <w:tmpl w:val="62DE3A8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BB44396"/>
    <w:multiLevelType w:val="hybridMultilevel"/>
    <w:tmpl w:val="4F2CA2A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457F6499"/>
    <w:multiLevelType w:val="hybridMultilevel"/>
    <w:tmpl w:val="0C9657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06B1E"/>
    <w:rsid w:val="00013DFC"/>
    <w:rsid w:val="00020831"/>
    <w:rsid w:val="000703E4"/>
    <w:rsid w:val="00075A7B"/>
    <w:rsid w:val="00085EF1"/>
    <w:rsid w:val="000A7C95"/>
    <w:rsid w:val="000B04A1"/>
    <w:rsid w:val="000C17E3"/>
    <w:rsid w:val="000E605D"/>
    <w:rsid w:val="00173DF1"/>
    <w:rsid w:val="001B60F1"/>
    <w:rsid w:val="002661AF"/>
    <w:rsid w:val="002724BA"/>
    <w:rsid w:val="002A092C"/>
    <w:rsid w:val="002F300A"/>
    <w:rsid w:val="00315841"/>
    <w:rsid w:val="00327E3D"/>
    <w:rsid w:val="0034236B"/>
    <w:rsid w:val="00345347"/>
    <w:rsid w:val="00381D7B"/>
    <w:rsid w:val="0038721E"/>
    <w:rsid w:val="003A0C99"/>
    <w:rsid w:val="003F3027"/>
    <w:rsid w:val="00434B8B"/>
    <w:rsid w:val="00457CCF"/>
    <w:rsid w:val="004D6761"/>
    <w:rsid w:val="00505D0F"/>
    <w:rsid w:val="0053523E"/>
    <w:rsid w:val="00541D1C"/>
    <w:rsid w:val="005467F4"/>
    <w:rsid w:val="00574A08"/>
    <w:rsid w:val="00575076"/>
    <w:rsid w:val="005903BA"/>
    <w:rsid w:val="005A438D"/>
    <w:rsid w:val="005A72E5"/>
    <w:rsid w:val="00607F66"/>
    <w:rsid w:val="00611659"/>
    <w:rsid w:val="00617615"/>
    <w:rsid w:val="006253E7"/>
    <w:rsid w:val="00676B8E"/>
    <w:rsid w:val="00696816"/>
    <w:rsid w:val="006D127A"/>
    <w:rsid w:val="0071555D"/>
    <w:rsid w:val="00731BF1"/>
    <w:rsid w:val="007A52F6"/>
    <w:rsid w:val="007A7F43"/>
    <w:rsid w:val="007C0547"/>
    <w:rsid w:val="007C4639"/>
    <w:rsid w:val="0082408F"/>
    <w:rsid w:val="008732ED"/>
    <w:rsid w:val="008C7FBE"/>
    <w:rsid w:val="00991258"/>
    <w:rsid w:val="009A278F"/>
    <w:rsid w:val="00A024F8"/>
    <w:rsid w:val="00A02BF5"/>
    <w:rsid w:val="00A255E0"/>
    <w:rsid w:val="00A65FED"/>
    <w:rsid w:val="00A7577A"/>
    <w:rsid w:val="00AE34C5"/>
    <w:rsid w:val="00B37024"/>
    <w:rsid w:val="00B568EA"/>
    <w:rsid w:val="00BA1F90"/>
    <w:rsid w:val="00C16E51"/>
    <w:rsid w:val="00C402F9"/>
    <w:rsid w:val="00D06E61"/>
    <w:rsid w:val="00D25D7F"/>
    <w:rsid w:val="00D60066"/>
    <w:rsid w:val="00DC317C"/>
    <w:rsid w:val="00DE2F3F"/>
    <w:rsid w:val="00E45AA1"/>
    <w:rsid w:val="00E9322A"/>
    <w:rsid w:val="00EC4353"/>
    <w:rsid w:val="00EE004A"/>
    <w:rsid w:val="00EF7242"/>
    <w:rsid w:val="00F302B7"/>
    <w:rsid w:val="00F50466"/>
    <w:rsid w:val="00F7568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1BE3F5-4193-42CA-B6D1-37B2B9307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7615"/>
    <w:pPr>
      <w:ind w:left="720"/>
      <w:contextualSpacing/>
    </w:pPr>
  </w:style>
  <w:style w:type="paragraph" w:styleId="BalloonText">
    <w:name w:val="Balloon Text"/>
    <w:basedOn w:val="Normal"/>
    <w:link w:val="BalloonTextChar"/>
    <w:uiPriority w:val="99"/>
    <w:semiHidden/>
    <w:unhideWhenUsed/>
    <w:rsid w:val="0071555D"/>
    <w:rPr>
      <w:rFonts w:ascii="Tahoma" w:hAnsi="Tahoma" w:cs="Tahoma"/>
      <w:sz w:val="16"/>
      <w:szCs w:val="16"/>
    </w:rPr>
  </w:style>
  <w:style w:type="character" w:customStyle="1" w:styleId="BalloonTextChar">
    <w:name w:val="Balloon Text Char"/>
    <w:basedOn w:val="DefaultParagraphFont"/>
    <w:link w:val="BalloonText"/>
    <w:uiPriority w:val="99"/>
    <w:semiHidden/>
    <w:rsid w:val="0071555D"/>
    <w:rPr>
      <w:rFonts w:ascii="Tahoma" w:eastAsia="Calibri" w:hAnsi="Tahoma" w:cs="Tahoma"/>
      <w:sz w:val="16"/>
      <w:szCs w:val="16"/>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1246</Words>
  <Characters>7104</Characters>
  <Application>Microsoft Office Word</Application>
  <DocSecurity>0</DocSecurity>
  <Lines>59</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Sašo Tomažič</cp:lastModifiedBy>
  <cp:revision>6</cp:revision>
  <dcterms:created xsi:type="dcterms:W3CDTF">2016-05-20T10:42:00Z</dcterms:created>
  <dcterms:modified xsi:type="dcterms:W3CDTF">2016-06-02T18:08:00Z</dcterms:modified>
</cp:coreProperties>
</file>