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0D65BD">
            <w:pPr>
              <w:rPr>
                <w:rFonts w:cs="Calibri"/>
              </w:rPr>
            </w:pPr>
            <w:bookmarkStart w:id="0" w:name="Predmet"/>
            <w:bookmarkEnd w:id="0"/>
            <w:r>
              <w:rPr>
                <w:rFonts w:cs="Calibri"/>
              </w:rPr>
              <w:t>Biomedicinske slikovne tehnologije</w:t>
            </w:r>
          </w:p>
        </w:tc>
      </w:tr>
      <w:tr w:rsidR="000D65BD" w:rsidTr="00384EDA">
        <w:tc>
          <w:tcPr>
            <w:tcW w:w="1799" w:type="dxa"/>
            <w:gridSpan w:val="3"/>
            <w:hideMark/>
          </w:tcPr>
          <w:p w:rsidR="000D65BD" w:rsidRDefault="000D65BD" w:rsidP="000D65BD">
            <w:pPr>
              <w:rPr>
                <w:rFonts w:cs="Calibri"/>
                <w:b/>
              </w:rPr>
            </w:pPr>
            <w:r w:rsidRPr="00694FA8">
              <w:rPr>
                <w:rFonts w:cs="Calibri"/>
                <w:b/>
                <w:szCs w:val="22"/>
                <w:lang w:val="en-US"/>
              </w:rPr>
              <w:t>Course title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BD" w:rsidRPr="0043411A" w:rsidRDefault="00694FA8" w:rsidP="00694FA8">
            <w:pPr>
              <w:rPr>
                <w:rFonts w:asciiTheme="minorHAnsi" w:hAnsiTheme="minorHAnsi"/>
                <w:sz w:val="22"/>
                <w:szCs w:val="22"/>
              </w:rPr>
            </w:pPr>
            <w:bookmarkStart w:id="1" w:name="APredmet"/>
            <w:bookmarkEnd w:id="1"/>
            <w:r w:rsidRPr="0043411A">
              <w:rPr>
                <w:rFonts w:asciiTheme="minorHAnsi" w:hAnsiTheme="minorHAnsi"/>
                <w:szCs w:val="22"/>
                <w:lang w:val="en-US" w:bidi="si-LK"/>
              </w:rPr>
              <w:t>Biom</w:t>
            </w:r>
            <w:r w:rsidR="000D65BD" w:rsidRPr="0043411A">
              <w:rPr>
                <w:rFonts w:asciiTheme="minorHAnsi" w:hAnsiTheme="minorHAnsi"/>
                <w:szCs w:val="22"/>
                <w:lang w:val="en-US" w:bidi="si-LK"/>
              </w:rPr>
              <w:t>edical Imaging</w:t>
            </w:r>
            <w:r w:rsidR="000D65BD" w:rsidRPr="0043411A">
              <w:rPr>
                <w:rFonts w:asciiTheme="minorHAnsi" w:hAnsiTheme="minorHAnsi"/>
                <w:szCs w:val="22"/>
                <w:lang w:bidi="si-LK"/>
              </w:rPr>
              <w:t xml:space="preserve"> Technologies</w:t>
            </w:r>
          </w:p>
        </w:tc>
      </w:tr>
      <w:tr w:rsidR="000D65BD" w:rsidTr="00384EDA">
        <w:tc>
          <w:tcPr>
            <w:tcW w:w="3307" w:type="dxa"/>
            <w:gridSpan w:val="5"/>
            <w:vAlign w:val="center"/>
          </w:tcPr>
          <w:p w:rsidR="000D65BD" w:rsidRDefault="000D65BD" w:rsidP="000D65BD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0D65BD" w:rsidRDefault="000D65BD" w:rsidP="000D65BD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0D65BD" w:rsidRDefault="000D65BD" w:rsidP="000D65BD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0D65BD" w:rsidRDefault="000D65BD" w:rsidP="000D65BD">
            <w:pPr>
              <w:jc w:val="center"/>
              <w:rPr>
                <w:rFonts w:cs="Calibri"/>
                <w:b/>
              </w:rPr>
            </w:pPr>
          </w:p>
        </w:tc>
      </w:tr>
      <w:tr w:rsidR="000D65BD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D65BD" w:rsidRDefault="000D65BD" w:rsidP="000D65B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0D65BD" w:rsidRDefault="000D65BD" w:rsidP="000D65BD">
            <w:pPr>
              <w:jc w:val="center"/>
              <w:rPr>
                <w:rFonts w:cs="Calibri"/>
              </w:rPr>
            </w:pPr>
            <w:r w:rsidRPr="00694FA8">
              <w:rPr>
                <w:rFonts w:cs="Calibri"/>
                <w:b/>
                <w:szCs w:val="22"/>
                <w:lang w:val="en-US"/>
              </w:rPr>
              <w:t>Study</w:t>
            </w:r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694FA8">
              <w:rPr>
                <w:rFonts w:cs="Calibri"/>
                <w:b/>
                <w:szCs w:val="22"/>
                <w:lang w:val="en-US"/>
              </w:rPr>
              <w:t>programme</w:t>
            </w:r>
            <w:proofErr w:type="spellEnd"/>
            <w:r w:rsidRPr="00694FA8">
              <w:rPr>
                <w:rFonts w:cs="Calibri"/>
                <w:b/>
                <w:szCs w:val="22"/>
                <w:lang w:val="en-US"/>
              </w:rPr>
              <w:t xml:space="preserve">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D65BD" w:rsidRDefault="000D65BD" w:rsidP="000D65B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0D65BD" w:rsidRPr="00694FA8" w:rsidRDefault="000D65BD" w:rsidP="000D65BD">
            <w:pPr>
              <w:jc w:val="center"/>
              <w:rPr>
                <w:rFonts w:cs="Calibri"/>
                <w:b/>
                <w:lang w:val="en-US"/>
              </w:rPr>
            </w:pPr>
            <w:r w:rsidRPr="00694FA8">
              <w:rPr>
                <w:rFonts w:cs="Calibri"/>
                <w:b/>
                <w:szCs w:val="22"/>
                <w:lang w:val="en-US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D65BD" w:rsidRDefault="000D65BD" w:rsidP="000D65B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0D65BD" w:rsidRPr="00694FA8" w:rsidRDefault="000D65BD" w:rsidP="000D65BD">
            <w:pPr>
              <w:jc w:val="center"/>
              <w:rPr>
                <w:rFonts w:cs="Calibri"/>
                <w:b/>
                <w:lang w:val="en-US"/>
              </w:rPr>
            </w:pPr>
            <w:r w:rsidRPr="00694FA8">
              <w:rPr>
                <w:rFonts w:cs="Calibri"/>
                <w:b/>
                <w:szCs w:val="22"/>
                <w:lang w:val="en-US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D65BD" w:rsidRDefault="000D65BD" w:rsidP="000D65B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0D65BD" w:rsidRDefault="000D65BD" w:rsidP="000D65B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0D65BD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BD" w:rsidRPr="00D81959" w:rsidRDefault="000D65BD" w:rsidP="000D65BD">
            <w:pPr>
              <w:jc w:val="center"/>
              <w:rPr>
                <w:rFonts w:cs="Calibri"/>
                <w:bCs/>
              </w:rPr>
            </w:pPr>
            <w:r w:rsidRPr="00D81959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BD" w:rsidRPr="00C21B94" w:rsidRDefault="000D65BD" w:rsidP="000D65BD">
            <w:pPr>
              <w:jc w:val="center"/>
              <w:rPr>
                <w:rFonts w:cs="Calibri"/>
                <w:bCs/>
              </w:rPr>
            </w:pPr>
            <w:r w:rsidRPr="00C21B94">
              <w:rPr>
                <w:rFonts w:cs="Calibri"/>
                <w:bCs/>
              </w:rPr>
              <w:t>Biomedicinska tehnika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BD" w:rsidRPr="00C21B94" w:rsidRDefault="000D65BD" w:rsidP="000D65BD">
            <w:pPr>
              <w:jc w:val="center"/>
              <w:rPr>
                <w:rFonts w:cs="Calibri"/>
                <w:bCs/>
              </w:rPr>
            </w:pPr>
            <w:r w:rsidRPr="00C21B94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BD" w:rsidRPr="00C21B94" w:rsidRDefault="000D65BD" w:rsidP="000D65BD">
            <w:pPr>
              <w:jc w:val="center"/>
              <w:rPr>
                <w:rFonts w:cs="Calibri"/>
                <w:bCs/>
              </w:rPr>
            </w:pPr>
            <w:r w:rsidRPr="00C21B94">
              <w:rPr>
                <w:rFonts w:cs="Calibri"/>
                <w:bCs/>
              </w:rPr>
              <w:t>2</w:t>
            </w:r>
          </w:p>
        </w:tc>
      </w:tr>
      <w:tr w:rsidR="000D65BD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BD" w:rsidRDefault="000D65BD" w:rsidP="000D65BD">
            <w:pPr>
              <w:jc w:val="center"/>
              <w:rPr>
                <w:rFonts w:cs="Calibri"/>
                <w:b/>
                <w:bCs/>
              </w:rPr>
            </w:pPr>
            <w:r w:rsidRPr="00D81959">
              <w:rPr>
                <w:lang w:val="en-GB"/>
              </w:rPr>
              <w:t>2</w:t>
            </w:r>
            <w:r w:rsidRPr="00D81959">
              <w:rPr>
                <w:vertAlign w:val="superscript"/>
                <w:lang w:val="en-GB"/>
              </w:rPr>
              <w:t>nd</w:t>
            </w:r>
            <w:r w:rsidRPr="00D81959">
              <w:rPr>
                <w:lang w:val="en-GB"/>
              </w:rPr>
              <w:t xml:space="preserve"> cycle masters study </w:t>
            </w:r>
            <w:r w:rsidRPr="00D81959">
              <w:rPr>
                <w:noProof/>
                <w:lang w:val="en-GB"/>
              </w:rPr>
              <w:t xml:space="preserve">programme in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 xml:space="preserve">lectrical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>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BD" w:rsidRPr="00C21B94" w:rsidRDefault="000D65BD" w:rsidP="000D65BD">
            <w:pPr>
              <w:jc w:val="center"/>
              <w:rPr>
                <w:rFonts w:cs="Calibri"/>
                <w:bCs/>
              </w:rPr>
            </w:pPr>
            <w:r w:rsidRPr="00694FA8">
              <w:rPr>
                <w:rFonts w:cs="Calibri"/>
                <w:bCs/>
                <w:lang w:val="en-US"/>
              </w:rPr>
              <w:t>Biomedical</w:t>
            </w:r>
            <w:r w:rsidRPr="00C21B94">
              <w:rPr>
                <w:rFonts w:cs="Calibri"/>
                <w:bCs/>
              </w:rPr>
              <w:t xml:space="preserve"> </w:t>
            </w:r>
            <w:r w:rsidRPr="00C21B94">
              <w:rPr>
                <w:noProof/>
                <w:lang w:val="en-GB"/>
              </w:rPr>
              <w:t>Engineering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BD" w:rsidRPr="00C21B94" w:rsidRDefault="000D65BD" w:rsidP="000D65BD">
            <w:pPr>
              <w:jc w:val="center"/>
              <w:rPr>
                <w:rFonts w:cs="Calibri"/>
                <w:bCs/>
              </w:rPr>
            </w:pPr>
            <w:r w:rsidRPr="00C21B94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BD" w:rsidRPr="00C21B94" w:rsidRDefault="000D65BD" w:rsidP="000D65BD">
            <w:pPr>
              <w:jc w:val="center"/>
              <w:rPr>
                <w:rFonts w:cs="Calibri"/>
                <w:bCs/>
              </w:rPr>
            </w:pPr>
            <w:r w:rsidRPr="00C21B94">
              <w:rPr>
                <w:rFonts w:cs="Calibri"/>
                <w:bCs/>
              </w:rPr>
              <w:t>2</w:t>
            </w:r>
          </w:p>
        </w:tc>
      </w:tr>
      <w:tr w:rsidR="000D65BD" w:rsidTr="00384EDA">
        <w:trPr>
          <w:trHeight w:val="103"/>
        </w:trPr>
        <w:tc>
          <w:tcPr>
            <w:tcW w:w="9690" w:type="dxa"/>
            <w:gridSpan w:val="18"/>
          </w:tcPr>
          <w:p w:rsidR="000D65BD" w:rsidRDefault="000D65BD" w:rsidP="000D65BD">
            <w:pPr>
              <w:rPr>
                <w:rFonts w:cs="Calibri"/>
                <w:b/>
                <w:bCs/>
              </w:rPr>
            </w:pPr>
          </w:p>
        </w:tc>
      </w:tr>
      <w:tr w:rsidR="000D65BD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D65BD" w:rsidRDefault="000D65BD" w:rsidP="000D65BD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r w:rsidRPr="00694FA8">
              <w:rPr>
                <w:rFonts w:cs="Calibri"/>
                <w:b/>
                <w:szCs w:val="22"/>
                <w:lang w:val="en-US"/>
              </w:rPr>
              <w:t>Course</w:t>
            </w:r>
            <w:r>
              <w:rPr>
                <w:rFonts w:cs="Calibri"/>
                <w:b/>
                <w:szCs w:val="22"/>
              </w:rPr>
              <w:t xml:space="preserve"> </w:t>
            </w:r>
            <w:r w:rsidRPr="00694FA8">
              <w:rPr>
                <w:rFonts w:cs="Calibri"/>
                <w:b/>
                <w:szCs w:val="22"/>
                <w:lang w:val="en-US"/>
              </w:rPr>
              <w:t>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BD" w:rsidRDefault="000D65BD" w:rsidP="00E658B3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Obvezni-strokovni /</w:t>
            </w:r>
            <w:r w:rsidRPr="00E867D3">
              <w:rPr>
                <w:bCs/>
                <w:lang w:val="en-GB"/>
              </w:rPr>
              <w:t xml:space="preserve"> Compulsory professional </w:t>
            </w:r>
          </w:p>
        </w:tc>
      </w:tr>
      <w:tr w:rsidR="000D65BD" w:rsidTr="00384EDA">
        <w:tc>
          <w:tcPr>
            <w:tcW w:w="5718" w:type="dxa"/>
            <w:gridSpan w:val="12"/>
          </w:tcPr>
          <w:p w:rsidR="000D65BD" w:rsidRDefault="000D65BD" w:rsidP="000D65BD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65BD" w:rsidRDefault="000D65BD" w:rsidP="000D65BD">
            <w:pPr>
              <w:rPr>
                <w:rFonts w:cs="Calibri"/>
              </w:rPr>
            </w:pPr>
          </w:p>
        </w:tc>
      </w:tr>
      <w:tr w:rsidR="000D65BD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D65BD" w:rsidRDefault="000D65BD" w:rsidP="000D65BD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r w:rsidRPr="00694FA8">
              <w:rPr>
                <w:rFonts w:cs="Calibri"/>
                <w:b/>
                <w:szCs w:val="22"/>
                <w:lang w:val="en-US"/>
              </w:rPr>
              <w:t>University</w:t>
            </w:r>
            <w:r>
              <w:rPr>
                <w:rFonts w:cs="Calibri"/>
                <w:b/>
                <w:szCs w:val="22"/>
              </w:rPr>
              <w:t xml:space="preserve"> </w:t>
            </w:r>
            <w:r w:rsidRPr="00694FA8">
              <w:rPr>
                <w:rFonts w:cs="Calibri"/>
                <w:b/>
                <w:szCs w:val="22"/>
                <w:lang w:val="en-US"/>
              </w:rPr>
              <w:t>course</w:t>
            </w:r>
            <w:r>
              <w:rPr>
                <w:rFonts w:cs="Calibri"/>
                <w:b/>
                <w:szCs w:val="22"/>
              </w:rPr>
              <w:t xml:space="preserve"> </w:t>
            </w:r>
            <w:r w:rsidRPr="00694FA8">
              <w:rPr>
                <w:rFonts w:cs="Calibri"/>
                <w:b/>
                <w:szCs w:val="22"/>
                <w:lang w:val="en-US"/>
              </w:rPr>
              <w:t>code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BD" w:rsidRDefault="000D65BD" w:rsidP="000D65BD">
            <w:pPr>
              <w:rPr>
                <w:rFonts w:cs="Calibri"/>
              </w:rPr>
            </w:pPr>
            <w:r>
              <w:rPr>
                <w:rFonts w:cs="Calibri"/>
              </w:rPr>
              <w:t>64214</w:t>
            </w:r>
          </w:p>
        </w:tc>
      </w:tr>
      <w:tr w:rsidR="000D65BD" w:rsidTr="00384EDA">
        <w:tc>
          <w:tcPr>
            <w:tcW w:w="9690" w:type="dxa"/>
            <w:gridSpan w:val="18"/>
          </w:tcPr>
          <w:p w:rsidR="000D65BD" w:rsidRDefault="000D65BD" w:rsidP="000D65BD">
            <w:pPr>
              <w:rPr>
                <w:rFonts w:cs="Calibri"/>
              </w:rPr>
            </w:pPr>
          </w:p>
        </w:tc>
      </w:tr>
      <w:tr w:rsidR="000D65BD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D65BD" w:rsidRDefault="000D65BD" w:rsidP="000D65B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0D65BD" w:rsidRPr="00694FA8" w:rsidRDefault="000D65BD" w:rsidP="000D65BD">
            <w:pPr>
              <w:jc w:val="center"/>
              <w:rPr>
                <w:rFonts w:cs="Calibri"/>
                <w:lang w:val="en-US"/>
              </w:rPr>
            </w:pPr>
            <w:r w:rsidRPr="00694FA8">
              <w:rPr>
                <w:rFonts w:cs="Calibri"/>
                <w:b/>
                <w:szCs w:val="22"/>
                <w:lang w:val="en-US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D65BD" w:rsidRDefault="000D65BD" w:rsidP="000D65B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0D65BD" w:rsidRDefault="000D65BD" w:rsidP="000D65B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D65BD" w:rsidRDefault="000D65BD" w:rsidP="000D65B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0D65BD" w:rsidRPr="00694FA8" w:rsidRDefault="000D65BD" w:rsidP="000D65BD">
            <w:pPr>
              <w:jc w:val="center"/>
              <w:rPr>
                <w:rFonts w:cs="Calibri"/>
                <w:b/>
                <w:lang w:val="en-US"/>
              </w:rPr>
            </w:pPr>
            <w:r w:rsidRPr="00694FA8">
              <w:rPr>
                <w:rFonts w:cs="Calibri"/>
                <w:b/>
                <w:szCs w:val="22"/>
                <w:lang w:val="en-US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D65BD" w:rsidRDefault="000D65BD" w:rsidP="000D65B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0D65BD" w:rsidRPr="00694FA8" w:rsidRDefault="000D65BD" w:rsidP="000D65BD">
            <w:pPr>
              <w:jc w:val="center"/>
              <w:rPr>
                <w:rFonts w:cs="Calibri"/>
                <w:b/>
                <w:lang w:val="en-US"/>
              </w:rPr>
            </w:pPr>
            <w:r w:rsidRPr="00694FA8">
              <w:rPr>
                <w:rFonts w:cs="Calibri"/>
                <w:b/>
                <w:szCs w:val="22"/>
                <w:lang w:val="en-US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D65BD" w:rsidRDefault="000D65BD" w:rsidP="000D65B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D65BD" w:rsidRDefault="000D65BD" w:rsidP="000D65B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0D65BD" w:rsidRDefault="000D65BD" w:rsidP="000D65BD">
            <w:pPr>
              <w:jc w:val="center"/>
              <w:rPr>
                <w:rFonts w:cs="Calibri"/>
                <w:b/>
              </w:rPr>
            </w:pPr>
            <w:proofErr w:type="spellStart"/>
            <w:r w:rsidRPr="00694FA8">
              <w:rPr>
                <w:rFonts w:cs="Calibri"/>
                <w:b/>
                <w:szCs w:val="22"/>
                <w:lang w:val="en-US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r w:rsidRPr="00694FA8">
              <w:rPr>
                <w:rFonts w:cs="Calibri"/>
                <w:b/>
                <w:szCs w:val="22"/>
                <w:lang w:val="en-US"/>
              </w:rPr>
              <w:t>work</w:t>
            </w:r>
          </w:p>
        </w:tc>
        <w:tc>
          <w:tcPr>
            <w:tcW w:w="132" w:type="dxa"/>
            <w:vAlign w:val="center"/>
          </w:tcPr>
          <w:p w:rsidR="000D65BD" w:rsidRDefault="000D65BD" w:rsidP="000D65BD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D65BD" w:rsidRDefault="000D65BD" w:rsidP="000D65B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0D65BD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BD" w:rsidRDefault="000D65BD" w:rsidP="000D65BD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BD" w:rsidRDefault="000D65BD" w:rsidP="000D65BD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BD" w:rsidRDefault="000D65BD" w:rsidP="000D65BD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BD" w:rsidRDefault="000D65BD" w:rsidP="000D65BD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BD" w:rsidRDefault="000D65BD" w:rsidP="000D65BD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BD" w:rsidRDefault="000D65BD" w:rsidP="000D65BD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65BD" w:rsidRDefault="000D65BD" w:rsidP="000D65BD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5BD" w:rsidRDefault="000D65BD" w:rsidP="000D65BD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0D65BD" w:rsidTr="00384EDA">
        <w:tc>
          <w:tcPr>
            <w:tcW w:w="9690" w:type="dxa"/>
            <w:gridSpan w:val="18"/>
          </w:tcPr>
          <w:p w:rsidR="000D65BD" w:rsidRDefault="000D65BD" w:rsidP="000D65BD">
            <w:pPr>
              <w:rPr>
                <w:rFonts w:cs="Calibri"/>
                <w:b/>
                <w:bCs/>
              </w:rPr>
            </w:pPr>
          </w:p>
        </w:tc>
      </w:tr>
      <w:tr w:rsidR="000D65BD" w:rsidTr="00384EDA">
        <w:tc>
          <w:tcPr>
            <w:tcW w:w="3307" w:type="dxa"/>
            <w:gridSpan w:val="5"/>
            <w:hideMark/>
          </w:tcPr>
          <w:p w:rsidR="000D65BD" w:rsidRDefault="000D65BD" w:rsidP="000D65BD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r w:rsidRPr="00694FA8">
              <w:rPr>
                <w:rFonts w:cs="Calibri"/>
                <w:b/>
                <w:szCs w:val="22"/>
                <w:lang w:val="en-US"/>
              </w:rPr>
              <w:t>Lecturer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BD" w:rsidRDefault="000D65BD" w:rsidP="000D65BD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Boštjan Likar</w:t>
            </w:r>
          </w:p>
        </w:tc>
      </w:tr>
      <w:tr w:rsidR="000D65BD" w:rsidTr="00384EDA">
        <w:tc>
          <w:tcPr>
            <w:tcW w:w="9690" w:type="dxa"/>
            <w:gridSpan w:val="18"/>
          </w:tcPr>
          <w:p w:rsidR="000D65BD" w:rsidRDefault="000D65BD" w:rsidP="000D65BD">
            <w:pPr>
              <w:jc w:val="both"/>
              <w:rPr>
                <w:rFonts w:cs="Calibri"/>
              </w:rPr>
            </w:pPr>
          </w:p>
        </w:tc>
      </w:tr>
      <w:tr w:rsidR="000D65BD" w:rsidTr="00384EDA">
        <w:tc>
          <w:tcPr>
            <w:tcW w:w="1641" w:type="dxa"/>
            <w:gridSpan w:val="2"/>
            <w:vMerge w:val="restart"/>
            <w:hideMark/>
          </w:tcPr>
          <w:p w:rsidR="000D65BD" w:rsidRDefault="000D65BD" w:rsidP="000D65BD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0D65BD" w:rsidRDefault="000D65BD" w:rsidP="000D65BD">
            <w:pPr>
              <w:rPr>
                <w:rFonts w:cs="Calibri"/>
              </w:rPr>
            </w:pPr>
            <w:r w:rsidRPr="00694FA8">
              <w:rPr>
                <w:rFonts w:cs="Calibri"/>
                <w:b/>
                <w:szCs w:val="22"/>
                <w:lang w:val="en-US"/>
              </w:rPr>
              <w:t>Languages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0D65BD" w:rsidRDefault="000D65BD" w:rsidP="000D65BD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r w:rsidRPr="00694FA8">
              <w:rPr>
                <w:rFonts w:cs="Calibri"/>
                <w:b/>
                <w:szCs w:val="22"/>
                <w:lang w:val="en-US"/>
              </w:rPr>
              <w:t>Lectures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A8" w:rsidRPr="00694FA8" w:rsidRDefault="00694FA8" w:rsidP="00C57F5A">
            <w:pPr>
              <w:jc w:val="both"/>
              <w:rPr>
                <w:rFonts w:cs="Calibri"/>
                <w:b/>
                <w:bCs/>
                <w:lang w:val="en-US"/>
              </w:rPr>
            </w:pPr>
            <w:bookmarkStart w:id="3" w:name="Jezik"/>
            <w:bookmarkEnd w:id="3"/>
            <w:r>
              <w:rPr>
                <w:rFonts w:cs="Calibri"/>
                <w:b/>
                <w:bCs/>
              </w:rPr>
              <w:t>Slovenščina</w:t>
            </w:r>
            <w:r w:rsidR="00C57F5A">
              <w:rPr>
                <w:rFonts w:cs="Calibri"/>
                <w:b/>
                <w:bCs/>
              </w:rPr>
              <w:t xml:space="preserve"> / </w:t>
            </w:r>
            <w:r w:rsidRPr="00694FA8">
              <w:rPr>
                <w:rFonts w:cs="Calibri"/>
                <w:b/>
                <w:bCs/>
                <w:lang w:val="en-US"/>
              </w:rPr>
              <w:t>Slovene</w:t>
            </w:r>
          </w:p>
        </w:tc>
      </w:tr>
      <w:tr w:rsidR="000D65BD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0D65BD" w:rsidRDefault="000D65BD" w:rsidP="000D65BD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0D65BD" w:rsidRDefault="000D65BD" w:rsidP="000D65BD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r w:rsidRPr="00694FA8">
              <w:rPr>
                <w:rFonts w:cs="Calibri"/>
                <w:b/>
                <w:szCs w:val="22"/>
                <w:lang w:val="en-US"/>
              </w:rPr>
              <w:t>Tutorial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BD" w:rsidRDefault="00694FA8" w:rsidP="00694FA8">
            <w:pPr>
              <w:rPr>
                <w:rFonts w:cs="Calibri"/>
                <w:b/>
                <w:bCs/>
              </w:rPr>
            </w:pPr>
            <w:bookmarkStart w:id="4" w:name="JezikV"/>
            <w:bookmarkEnd w:id="4"/>
            <w:r>
              <w:rPr>
                <w:rFonts w:cs="Calibri"/>
                <w:b/>
                <w:bCs/>
              </w:rPr>
              <w:t>Slovenščina</w:t>
            </w:r>
            <w:r w:rsidR="00C57F5A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t>/</w:t>
            </w:r>
            <w:r w:rsidR="00C57F5A">
              <w:rPr>
                <w:rFonts w:cs="Calibri"/>
                <w:b/>
                <w:bCs/>
              </w:rPr>
              <w:t xml:space="preserve"> </w:t>
            </w:r>
            <w:r w:rsidR="0058785B">
              <w:rPr>
                <w:rFonts w:cs="Calibri"/>
                <w:b/>
                <w:bCs/>
              </w:rPr>
              <w:t xml:space="preserve"> </w:t>
            </w:r>
            <w:r w:rsidRPr="00694FA8">
              <w:rPr>
                <w:rFonts w:cs="Calibri"/>
                <w:b/>
                <w:bCs/>
                <w:lang w:val="en-US"/>
              </w:rPr>
              <w:t>Slovene</w:t>
            </w:r>
          </w:p>
        </w:tc>
      </w:tr>
      <w:tr w:rsidR="000D65BD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5BD" w:rsidRDefault="000D65BD" w:rsidP="000D65BD">
            <w:pPr>
              <w:rPr>
                <w:rFonts w:cs="Calibri"/>
                <w:b/>
                <w:bCs/>
              </w:rPr>
            </w:pPr>
          </w:p>
          <w:p w:rsidR="000D65BD" w:rsidRDefault="000D65BD" w:rsidP="000D65BD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0D65BD" w:rsidRDefault="000D65BD" w:rsidP="000D65BD">
            <w:pPr>
              <w:rPr>
                <w:rFonts w:cs="Calibri"/>
                <w:b/>
              </w:rPr>
            </w:pPr>
          </w:p>
          <w:p w:rsidR="000D65BD" w:rsidRDefault="000D65BD" w:rsidP="000D65BD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5BD" w:rsidRDefault="000D65BD" w:rsidP="000D65BD">
            <w:pPr>
              <w:rPr>
                <w:rFonts w:cs="Calibri"/>
                <w:b/>
              </w:rPr>
            </w:pPr>
          </w:p>
          <w:p w:rsidR="000D65BD" w:rsidRDefault="000D65BD" w:rsidP="000D65BD">
            <w:pPr>
              <w:rPr>
                <w:rFonts w:cs="Calibri"/>
                <w:b/>
              </w:rPr>
            </w:pPr>
            <w:r w:rsidRPr="00694FA8">
              <w:rPr>
                <w:rFonts w:cs="Calibri"/>
                <w:b/>
                <w:szCs w:val="22"/>
                <w:lang w:val="en-GB"/>
              </w:rPr>
              <w:t>Prerequisit</w:t>
            </w:r>
            <w:r w:rsidR="00694FA8">
              <w:rPr>
                <w:rFonts w:cs="Calibri"/>
                <w:b/>
                <w:szCs w:val="22"/>
                <w:lang w:val="en-GB"/>
              </w:rPr>
              <w:t>e</w:t>
            </w:r>
            <w:r w:rsidRPr="00694FA8">
              <w:rPr>
                <w:rFonts w:cs="Calibri"/>
                <w:b/>
                <w:szCs w:val="22"/>
                <w:lang w:val="en-GB"/>
              </w:rPr>
              <w:t>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0D65BD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BD" w:rsidRDefault="004D72C5" w:rsidP="000D65BD">
            <w:pPr>
              <w:rPr>
                <w:rFonts w:cs="Calibri"/>
              </w:rPr>
            </w:pPr>
            <w:r>
              <w:rPr>
                <w:rFonts w:cs="Calibri"/>
              </w:rPr>
              <w:t>Vpis v letnik</w:t>
            </w:r>
            <w:r w:rsidR="0043411A" w:rsidRPr="0043411A"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5BD" w:rsidRDefault="000D65BD" w:rsidP="000D65BD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BD" w:rsidRPr="000B2261" w:rsidRDefault="004D72C5" w:rsidP="0043411A">
            <w:pPr>
              <w:rPr>
                <w:lang w:val="en-GB"/>
              </w:rPr>
            </w:pPr>
            <w:r>
              <w:rPr>
                <w:lang w:val="en-GB"/>
              </w:rPr>
              <w:t>Enrolment in the year of the course.</w:t>
            </w:r>
            <w:bookmarkStart w:id="5" w:name="_GoBack"/>
            <w:bookmarkEnd w:id="5"/>
          </w:p>
        </w:tc>
      </w:tr>
      <w:tr w:rsidR="000D65BD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5BD" w:rsidRDefault="000D65BD" w:rsidP="000D65BD">
            <w:pPr>
              <w:rPr>
                <w:rFonts w:cs="Calibri"/>
                <w:b/>
              </w:rPr>
            </w:pPr>
          </w:p>
          <w:p w:rsidR="000D65BD" w:rsidRDefault="000D65BD" w:rsidP="000D65BD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0D65BD" w:rsidRDefault="000D65BD" w:rsidP="000D65BD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5BD" w:rsidRPr="00E948BA" w:rsidRDefault="000D65BD" w:rsidP="000D65BD">
            <w:pPr>
              <w:rPr>
                <w:rFonts w:cs="Calibri"/>
                <w:b/>
                <w:lang w:val="en-GB"/>
              </w:rPr>
            </w:pPr>
          </w:p>
          <w:p w:rsidR="000D65BD" w:rsidRPr="00E948BA" w:rsidRDefault="000D65BD" w:rsidP="000D65BD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0D65BD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E7" w:rsidRDefault="006227E7" w:rsidP="006A4806">
            <w:pPr>
              <w:rPr>
                <w:rFonts w:cs="Calibri"/>
              </w:rPr>
            </w:pPr>
          </w:p>
          <w:p w:rsidR="006A4806" w:rsidRPr="006A4806" w:rsidRDefault="006A4806" w:rsidP="006A4806">
            <w:pPr>
              <w:rPr>
                <w:rFonts w:cs="Calibri"/>
              </w:rPr>
            </w:pPr>
            <w:r w:rsidRPr="006A4806">
              <w:rPr>
                <w:rFonts w:cs="Calibri"/>
              </w:rPr>
              <w:t>Pridobivanje biomedicinskih slik: s pomočjo digitalnih fotoaparatov in kamer v vidnem in nevidnem delu spektra elektromagnetnega valovanja, mikroskopske tehnike, rentgensko slikanje in računalniška tomografija, magnetno resonančno slikanje in ultrazvok – fizikalni principi, tehnologije in geometrije zajemanja, izvedbe in lastnosti naprav, nepravilnosti in kakovost slik.</w:t>
            </w:r>
          </w:p>
          <w:p w:rsidR="006227E7" w:rsidRDefault="006227E7" w:rsidP="006A4806">
            <w:pPr>
              <w:rPr>
                <w:rFonts w:cs="Calibri"/>
              </w:rPr>
            </w:pPr>
          </w:p>
          <w:p w:rsidR="006A4806" w:rsidRPr="006A4806" w:rsidRDefault="006A4806" w:rsidP="006A4806">
            <w:pPr>
              <w:rPr>
                <w:rFonts w:cs="Calibri"/>
              </w:rPr>
            </w:pPr>
            <w:r w:rsidRPr="006A4806">
              <w:rPr>
                <w:rFonts w:cs="Calibri"/>
              </w:rPr>
              <w:lastRenderedPageBreak/>
              <w:t xml:space="preserve">Obnova, rekonstrukcija in kalibracija slik: modeliranje in ocenjevanje šuma, glajenje in ostrenje, statistično in prilagodljivo filtriranje, postopki za rekonstrukcijo slik, kalibracija in obnova sivinskih vrednosti in prostorskih nehomogenosti, geometrijska kalibracija slik. </w:t>
            </w:r>
          </w:p>
          <w:p w:rsidR="006227E7" w:rsidRDefault="006227E7" w:rsidP="006A4806">
            <w:pPr>
              <w:rPr>
                <w:rFonts w:cs="Calibri"/>
              </w:rPr>
            </w:pPr>
          </w:p>
          <w:p w:rsidR="000D65BD" w:rsidRDefault="006A4806" w:rsidP="006A4806">
            <w:pPr>
              <w:rPr>
                <w:rFonts w:cs="Calibri"/>
              </w:rPr>
            </w:pPr>
            <w:r w:rsidRPr="006A4806">
              <w:rPr>
                <w:rFonts w:cs="Calibri"/>
              </w:rPr>
              <w:t xml:space="preserve">Poravnava in integracija slik: delitev in uporaba postopkov poravnav, modeliranje geometrijskih preslikav in deformacij, določevanje in prileganje kontrolnih točk, poravnava na osnovi </w:t>
            </w:r>
            <w:proofErr w:type="spellStart"/>
            <w:r w:rsidRPr="006A4806">
              <w:rPr>
                <w:rFonts w:cs="Calibri"/>
              </w:rPr>
              <w:t>maksimizacije</w:t>
            </w:r>
            <w:proofErr w:type="spellEnd"/>
            <w:r w:rsidRPr="006A4806">
              <w:rPr>
                <w:rFonts w:cs="Calibri"/>
              </w:rPr>
              <w:t xml:space="preserve"> podobnosti, mere podobnosti in optimizacijski postopki, analiziranje in vrednotenje postopkov poravnav, primeri integracije slik.</w:t>
            </w:r>
          </w:p>
          <w:p w:rsidR="006227E7" w:rsidRDefault="006227E7" w:rsidP="006A4806">
            <w:pPr>
              <w:rPr>
                <w:rFonts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5BD" w:rsidRDefault="000D65BD" w:rsidP="000D65BD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E7" w:rsidRDefault="006227E7" w:rsidP="00694FA8">
            <w:pPr>
              <w:rPr>
                <w:rFonts w:cs="Calibri"/>
                <w:lang w:val="en-GB"/>
              </w:rPr>
            </w:pPr>
          </w:p>
          <w:p w:rsidR="00694FA8" w:rsidRPr="00694FA8" w:rsidRDefault="00694FA8" w:rsidP="00694FA8">
            <w:pPr>
              <w:rPr>
                <w:rFonts w:cs="Calibri"/>
                <w:lang w:val="en-GB"/>
              </w:rPr>
            </w:pPr>
            <w:r w:rsidRPr="00694FA8">
              <w:rPr>
                <w:rFonts w:cs="Calibri"/>
                <w:lang w:val="en-GB"/>
              </w:rPr>
              <w:t>Acquisition of biomedical images:</w:t>
            </w:r>
            <w:r>
              <w:rPr>
                <w:rFonts w:cs="Calibri"/>
                <w:lang w:val="en-GB"/>
              </w:rPr>
              <w:t xml:space="preserve"> </w:t>
            </w:r>
            <w:r w:rsidRPr="00694FA8">
              <w:rPr>
                <w:rFonts w:cs="Calibri"/>
                <w:lang w:val="en-GB"/>
              </w:rPr>
              <w:t>digital photography and cameras, microscopic techniques, X-ray imaging, computer tomography, magnetic resonance imaging and ultrasound – physical principles, acquisition technologies and geometries, implementations and characteristics of imaging devices, image art</w:t>
            </w:r>
            <w:r>
              <w:rPr>
                <w:rFonts w:cs="Calibri"/>
                <w:lang w:val="en-GB"/>
              </w:rPr>
              <w:t>e</w:t>
            </w:r>
            <w:r w:rsidRPr="00694FA8">
              <w:rPr>
                <w:rFonts w:cs="Calibri"/>
                <w:lang w:val="en-GB"/>
              </w:rPr>
              <w:t>facts and quality.</w:t>
            </w:r>
          </w:p>
          <w:p w:rsidR="006227E7" w:rsidRDefault="006227E7" w:rsidP="00694FA8">
            <w:pPr>
              <w:rPr>
                <w:rFonts w:cs="Calibri"/>
                <w:lang w:val="en-GB"/>
              </w:rPr>
            </w:pPr>
          </w:p>
          <w:p w:rsidR="00694FA8" w:rsidRPr="00694FA8" w:rsidRDefault="00694FA8" w:rsidP="00694FA8">
            <w:pPr>
              <w:rPr>
                <w:rFonts w:cs="Calibri"/>
                <w:lang w:val="en-GB"/>
              </w:rPr>
            </w:pPr>
            <w:r w:rsidRPr="00694FA8">
              <w:rPr>
                <w:rFonts w:cs="Calibri"/>
                <w:lang w:val="en-GB"/>
              </w:rPr>
              <w:t>Restoration, reconstruction and calibration:</w:t>
            </w:r>
            <w:r>
              <w:rPr>
                <w:rFonts w:cs="Calibri"/>
                <w:lang w:val="en-GB"/>
              </w:rPr>
              <w:t xml:space="preserve"> </w:t>
            </w:r>
            <w:r w:rsidRPr="00694FA8">
              <w:rPr>
                <w:rFonts w:cs="Calibri"/>
                <w:lang w:val="en-GB"/>
              </w:rPr>
              <w:lastRenderedPageBreak/>
              <w:t>mode</w:t>
            </w:r>
            <w:r>
              <w:rPr>
                <w:rFonts w:cs="Calibri"/>
                <w:lang w:val="en-GB"/>
              </w:rPr>
              <w:t>l</w:t>
            </w:r>
            <w:r w:rsidRPr="00694FA8">
              <w:rPr>
                <w:rFonts w:cs="Calibri"/>
                <w:lang w:val="en-GB"/>
              </w:rPr>
              <w:t xml:space="preserve">ling and estimation of noise, image smoothing and sharpening, statistical and adaptive filtering, reconstruction algorithms, calibration and restoration of intensities, geometric calibration. </w:t>
            </w:r>
          </w:p>
          <w:p w:rsidR="006227E7" w:rsidRDefault="006227E7" w:rsidP="00694FA8">
            <w:pPr>
              <w:rPr>
                <w:rFonts w:cs="Calibri"/>
                <w:lang w:val="en-GB"/>
              </w:rPr>
            </w:pPr>
          </w:p>
          <w:p w:rsidR="000D65BD" w:rsidRPr="00E948BA" w:rsidRDefault="00694FA8" w:rsidP="00694FA8">
            <w:pPr>
              <w:rPr>
                <w:rFonts w:cs="Calibri"/>
                <w:lang w:val="en-GB"/>
              </w:rPr>
            </w:pPr>
            <w:r w:rsidRPr="00694FA8">
              <w:rPr>
                <w:rFonts w:cs="Calibri"/>
                <w:lang w:val="en-GB"/>
              </w:rPr>
              <w:t>Image registration and integration:</w:t>
            </w:r>
            <w:r>
              <w:rPr>
                <w:rFonts w:cs="Calibri"/>
                <w:lang w:val="en-GB"/>
              </w:rPr>
              <w:t xml:space="preserve"> </w:t>
            </w:r>
            <w:r w:rsidRPr="00694FA8">
              <w:rPr>
                <w:rFonts w:cs="Calibri"/>
                <w:lang w:val="en-GB"/>
              </w:rPr>
              <w:t>classifications and applications of image registration methods, model</w:t>
            </w:r>
            <w:r>
              <w:rPr>
                <w:rFonts w:cs="Calibri"/>
                <w:lang w:val="en-GB"/>
              </w:rPr>
              <w:t>l</w:t>
            </w:r>
            <w:r w:rsidRPr="00694FA8">
              <w:rPr>
                <w:rFonts w:cs="Calibri"/>
                <w:lang w:val="en-GB"/>
              </w:rPr>
              <w:t>ing geometrical transformations and deformations, identification and matching of control points, registration by maximization of similarities, similarity measures and optimization methods, analysis and evaluation of registration methods, image integration examples.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0B2261">
        <w:tc>
          <w:tcPr>
            <w:tcW w:w="9690" w:type="dxa"/>
            <w:gridSpan w:val="6"/>
            <w:hideMark/>
          </w:tcPr>
          <w:p w:rsidR="00D60066" w:rsidRDefault="00D60066" w:rsidP="005D475F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>Temeljn</w:t>
            </w:r>
            <w:r w:rsidR="005D475F">
              <w:rPr>
                <w:rFonts w:cs="Calibri"/>
                <w:b/>
                <w:szCs w:val="22"/>
              </w:rPr>
              <w:t>a</w:t>
            </w:r>
            <w:r>
              <w:rPr>
                <w:rFonts w:cs="Calibri"/>
                <w:b/>
                <w:szCs w:val="22"/>
              </w:rPr>
              <w:t xml:space="preserve"> literatura in viri / </w:t>
            </w:r>
            <w:r w:rsidRPr="00694FA8">
              <w:rPr>
                <w:rFonts w:cs="Calibri"/>
                <w:b/>
                <w:szCs w:val="22"/>
                <w:lang w:val="en-GB"/>
              </w:rPr>
              <w:t>Readings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484992">
        <w:trPr>
          <w:trHeight w:val="1350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06" w:rsidRPr="00484992" w:rsidRDefault="003618A2" w:rsidP="00484992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  <w:lang w:val="en-GB"/>
              </w:rPr>
            </w:pPr>
            <w:bookmarkStart w:id="6" w:name="Ucbeniki"/>
            <w:bookmarkEnd w:id="6"/>
            <w:r w:rsidRPr="00484992">
              <w:rPr>
                <w:rFonts w:cs="Calibri"/>
                <w:bCs/>
                <w:lang w:val="en-GB"/>
              </w:rPr>
              <w:t xml:space="preserve">Paul </w:t>
            </w:r>
            <w:proofErr w:type="spellStart"/>
            <w:r w:rsidRPr="00484992">
              <w:rPr>
                <w:rFonts w:cs="Calibri"/>
                <w:bCs/>
                <w:lang w:val="en-GB"/>
              </w:rPr>
              <w:t>Suetens</w:t>
            </w:r>
            <w:proofErr w:type="spellEnd"/>
            <w:r w:rsidR="00484992" w:rsidRPr="00484992">
              <w:rPr>
                <w:rFonts w:cs="Calibri"/>
                <w:bCs/>
                <w:lang w:val="en-GB"/>
              </w:rPr>
              <w:t xml:space="preserve">, </w:t>
            </w:r>
            <w:r w:rsidR="006A4806" w:rsidRPr="00484992">
              <w:rPr>
                <w:rFonts w:cs="Calibri"/>
                <w:bCs/>
                <w:lang w:val="en-GB"/>
              </w:rPr>
              <w:t>Fundamentals of Medical Imaging</w:t>
            </w:r>
            <w:r w:rsidR="00484992" w:rsidRPr="00484992">
              <w:rPr>
                <w:rFonts w:cs="Calibri"/>
                <w:bCs/>
                <w:lang w:val="en-GB"/>
              </w:rPr>
              <w:t xml:space="preserve">, </w:t>
            </w:r>
            <w:r w:rsidRPr="00484992">
              <w:rPr>
                <w:rFonts w:cs="Calibri"/>
                <w:bCs/>
                <w:lang w:val="en-GB"/>
              </w:rPr>
              <w:t>Cambridge University Press, 2</w:t>
            </w:r>
            <w:r w:rsidRPr="00484992">
              <w:rPr>
                <w:rFonts w:cs="Calibri"/>
                <w:bCs/>
                <w:vertAlign w:val="superscript"/>
                <w:lang w:val="en-GB"/>
              </w:rPr>
              <w:t>nd</w:t>
            </w:r>
            <w:r w:rsidRPr="00484992">
              <w:rPr>
                <w:rFonts w:cs="Calibri"/>
                <w:bCs/>
                <w:lang w:val="en-GB"/>
              </w:rPr>
              <w:t xml:space="preserve"> </w:t>
            </w:r>
            <w:r w:rsidR="006A4806" w:rsidRPr="00484992">
              <w:rPr>
                <w:rFonts w:cs="Calibri"/>
                <w:bCs/>
                <w:lang w:val="en-GB"/>
              </w:rPr>
              <w:t>edition, 200</w:t>
            </w:r>
            <w:r w:rsidRPr="00484992">
              <w:rPr>
                <w:rFonts w:cs="Calibri"/>
                <w:bCs/>
                <w:lang w:val="en-GB"/>
              </w:rPr>
              <w:t>9</w:t>
            </w:r>
            <w:r w:rsidR="006A4806" w:rsidRPr="00484992">
              <w:rPr>
                <w:rFonts w:cs="Calibri"/>
                <w:bCs/>
                <w:lang w:val="en-GB"/>
              </w:rPr>
              <w:t>.</w:t>
            </w:r>
          </w:p>
          <w:p w:rsidR="003618A2" w:rsidRPr="00484992" w:rsidRDefault="003618A2" w:rsidP="00484992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  <w:lang w:val="en-GB"/>
              </w:rPr>
            </w:pPr>
            <w:r w:rsidRPr="00484992">
              <w:rPr>
                <w:rFonts w:cs="Calibri"/>
                <w:bCs/>
                <w:lang w:val="en-GB"/>
              </w:rPr>
              <w:t>Jerry L. Prince, Jonathan Links</w:t>
            </w:r>
            <w:r w:rsidR="00484992" w:rsidRPr="00484992">
              <w:rPr>
                <w:rFonts w:cs="Calibri"/>
                <w:bCs/>
                <w:lang w:val="en-GB"/>
              </w:rPr>
              <w:t xml:space="preserve">, </w:t>
            </w:r>
            <w:r w:rsidR="006A4806" w:rsidRPr="00484992">
              <w:rPr>
                <w:rFonts w:cs="Calibri"/>
                <w:bCs/>
                <w:lang w:val="en-GB"/>
              </w:rPr>
              <w:t>Medical Imaging Signals and Systems</w:t>
            </w:r>
            <w:r w:rsidR="00484992" w:rsidRPr="00484992">
              <w:rPr>
                <w:rFonts w:cs="Calibri"/>
                <w:bCs/>
                <w:lang w:val="en-GB"/>
              </w:rPr>
              <w:t xml:space="preserve">, </w:t>
            </w:r>
            <w:r w:rsidR="006A4806" w:rsidRPr="00484992">
              <w:rPr>
                <w:rFonts w:cs="Calibri"/>
                <w:bCs/>
                <w:lang w:val="en-GB"/>
              </w:rPr>
              <w:t xml:space="preserve">Prentice Hall, </w:t>
            </w:r>
            <w:r w:rsidRPr="00484992">
              <w:rPr>
                <w:rFonts w:cs="Calibri"/>
                <w:bCs/>
                <w:lang w:val="en-GB"/>
              </w:rPr>
              <w:t>2</w:t>
            </w:r>
            <w:r w:rsidRPr="00484992">
              <w:rPr>
                <w:rFonts w:cs="Calibri"/>
                <w:bCs/>
                <w:vertAlign w:val="superscript"/>
                <w:lang w:val="en-GB"/>
              </w:rPr>
              <w:t>nd</w:t>
            </w:r>
            <w:r w:rsidRPr="00484992">
              <w:rPr>
                <w:rFonts w:cs="Calibri"/>
                <w:bCs/>
                <w:lang w:val="en-GB"/>
              </w:rPr>
              <w:t xml:space="preserve"> edition, 2014</w:t>
            </w:r>
            <w:r w:rsidR="006A4806" w:rsidRPr="00484992">
              <w:rPr>
                <w:rFonts w:cs="Calibri"/>
                <w:bCs/>
                <w:lang w:val="en-GB"/>
              </w:rPr>
              <w:t>.</w:t>
            </w: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6A4806" w:rsidP="000B2261">
            <w:pPr>
              <w:rPr>
                <w:rFonts w:cs="Calibri"/>
              </w:rPr>
            </w:pPr>
            <w:r w:rsidRPr="006A4806">
              <w:rPr>
                <w:rFonts w:cs="Calibri"/>
              </w:rPr>
              <w:t>Spoznati naprave in tehnologije za pridobivanje biomedicinskih slik ter postopke za njihovo obnovo, rekonstrukcijo, kalibracijo in integracijo.</w:t>
            </w:r>
          </w:p>
          <w:p w:rsidR="006227E7" w:rsidRDefault="006227E7" w:rsidP="000B2261">
            <w:pPr>
              <w:rPr>
                <w:rFonts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694FA8" w:rsidRDefault="00694FA8" w:rsidP="008F6996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T</w:t>
            </w:r>
            <w:r w:rsidRPr="00694FA8">
              <w:rPr>
                <w:rFonts w:cs="Calibri"/>
                <w:lang w:val="en-GB"/>
              </w:rPr>
              <w:t>o introduce basic technologies for the acquisition of biomedical images and the procedures for their restoration, reconstruction, calibration and integration.</w:t>
            </w:r>
          </w:p>
        </w:tc>
      </w:tr>
      <w:tr w:rsidR="00D6006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C72078" w:rsidRDefault="00694FA8" w:rsidP="00694FA8">
            <w:pPr>
              <w:rPr>
                <w:rFonts w:cs="Calibri"/>
              </w:rPr>
            </w:pPr>
            <w:r w:rsidRPr="00694FA8">
              <w:rPr>
                <w:rFonts w:cs="Calibri"/>
              </w:rPr>
              <w:t>Razumevanje</w:t>
            </w:r>
            <w:r>
              <w:rPr>
                <w:rFonts w:cs="Calibri"/>
              </w:rPr>
              <w:t xml:space="preserve"> in obvladovanje</w:t>
            </w:r>
            <w:r w:rsidRPr="00694FA8">
              <w:rPr>
                <w:rFonts w:cs="Calibri"/>
              </w:rPr>
              <w:t xml:space="preserve"> večdimenzionalnih podatkov</w:t>
            </w:r>
            <w:r>
              <w:rPr>
                <w:rFonts w:cs="Calibri"/>
              </w:rPr>
              <w:t>:</w:t>
            </w:r>
            <w:r w:rsidRPr="00694FA8">
              <w:rPr>
                <w:rFonts w:cs="Calibri"/>
              </w:rPr>
              <w:t xml:space="preserve"> fizikaln</w:t>
            </w:r>
            <w:r>
              <w:rPr>
                <w:rFonts w:cs="Calibri"/>
              </w:rPr>
              <w:t>a ozadja, omejit</w:t>
            </w:r>
            <w:r w:rsidRPr="00694FA8">
              <w:rPr>
                <w:rFonts w:cs="Calibri"/>
              </w:rPr>
              <w:t>v</w:t>
            </w:r>
            <w:r>
              <w:rPr>
                <w:rFonts w:cs="Calibri"/>
              </w:rPr>
              <w:t>e in</w:t>
            </w:r>
            <w:r w:rsidRPr="00694FA8">
              <w:rPr>
                <w:rFonts w:cs="Calibri"/>
              </w:rPr>
              <w:t xml:space="preserve"> nepopolnosti</w:t>
            </w:r>
            <w:r>
              <w:rPr>
                <w:rFonts w:cs="Calibri"/>
              </w:rPr>
              <w:t xml:space="preserve">, </w:t>
            </w:r>
            <w:r w:rsidRPr="00694FA8">
              <w:rPr>
                <w:rFonts w:cs="Calibri"/>
              </w:rPr>
              <w:t xml:space="preserve"> informacijsk</w:t>
            </w:r>
            <w:r>
              <w:rPr>
                <w:rFonts w:cs="Calibri"/>
              </w:rPr>
              <w:t>a</w:t>
            </w:r>
            <w:r w:rsidRPr="00694FA8">
              <w:rPr>
                <w:rFonts w:cs="Calibri"/>
              </w:rPr>
              <w:t xml:space="preserve"> vsebin</w:t>
            </w:r>
            <w:r>
              <w:rPr>
                <w:rFonts w:cs="Calibri"/>
              </w:rPr>
              <w:t>a, digitalna obdelava in upravljanje</w:t>
            </w:r>
            <w:r w:rsidRPr="00694FA8"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FA8" w:rsidRPr="00C44581" w:rsidRDefault="00694FA8" w:rsidP="00694FA8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Understanding and mastering multidimensional data: </w:t>
            </w:r>
            <w:r w:rsidRPr="00694FA8">
              <w:rPr>
                <w:rFonts w:cs="Calibri"/>
                <w:lang w:val="en-GB"/>
              </w:rPr>
              <w:t xml:space="preserve">physical principles, </w:t>
            </w:r>
            <w:r>
              <w:rPr>
                <w:rFonts w:cs="Calibri"/>
                <w:lang w:val="en-GB"/>
              </w:rPr>
              <w:t>limitations and artefacts, information content, digital processing and management.</w:t>
            </w:r>
          </w:p>
        </w:tc>
      </w:tr>
      <w:tr w:rsidR="000B2261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72078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</w:tr>
      <w:tr w:rsidR="000B2261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694FA8" w:rsidRDefault="000B2261">
            <w:pPr>
              <w:rPr>
                <w:rFonts w:cs="Calibri"/>
                <w:b/>
                <w:lang w:val="en-GB"/>
              </w:rPr>
            </w:pPr>
          </w:p>
          <w:p w:rsidR="000B2261" w:rsidRPr="00694FA8" w:rsidRDefault="000B2261">
            <w:pPr>
              <w:rPr>
                <w:rFonts w:cs="Calibri"/>
                <w:b/>
                <w:lang w:val="en-GB"/>
              </w:rPr>
            </w:pPr>
            <w:r w:rsidRPr="00694FA8">
              <w:rPr>
                <w:rFonts w:cs="Calibri"/>
                <w:b/>
                <w:szCs w:val="22"/>
                <w:lang w:val="en-GB"/>
              </w:rPr>
              <w:t>Learning and teaching methods:</w:t>
            </w:r>
          </w:p>
        </w:tc>
      </w:tr>
      <w:tr w:rsidR="000B2261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6A4806">
            <w:pPr>
              <w:rPr>
                <w:rFonts w:cs="Calibri"/>
              </w:rPr>
            </w:pPr>
            <w:r w:rsidRPr="006A4806">
              <w:rPr>
                <w:rFonts w:cs="Calibri"/>
              </w:rPr>
              <w:t>Teoretične osnove, postopke in primere uporabe študentje spoznajo na predavanjih, praktična znanja pa pridobijo z reševanjem nalog na laboratorijskih vajah.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694FA8" w:rsidRDefault="00694FA8">
            <w:pPr>
              <w:rPr>
                <w:rFonts w:cs="Calibri"/>
                <w:lang w:val="en-GB"/>
              </w:rPr>
            </w:pPr>
            <w:r w:rsidRPr="00694FA8">
              <w:rPr>
                <w:rFonts w:cs="Calibri"/>
                <w:lang w:val="en-GB"/>
              </w:rPr>
              <w:t>Basic theory, procedures and practical examples are considered at lectures, while practical knowledge is gained through problem-solving tasks at lab works.</w:t>
            </w:r>
          </w:p>
        </w:tc>
      </w:tr>
      <w:tr w:rsidR="000B2261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227E7" w:rsidRDefault="006227E7">
            <w:pPr>
              <w:rPr>
                <w:rFonts w:cs="Calibri"/>
                <w:szCs w:val="22"/>
              </w:rPr>
            </w:pPr>
          </w:p>
          <w:p w:rsidR="000B2261" w:rsidRDefault="000B2261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0B2261" w:rsidRDefault="000B2261">
            <w:pPr>
              <w:rPr>
                <w:rFonts w:cs="Calibri"/>
                <w:b/>
              </w:rPr>
            </w:pPr>
            <w:r w:rsidRPr="00694FA8">
              <w:rPr>
                <w:rFonts w:cs="Calibri"/>
                <w:szCs w:val="22"/>
                <w:lang w:val="en-GB"/>
              </w:rPr>
              <w:t>Weight</w:t>
            </w:r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Pr="00694FA8" w:rsidRDefault="000B2261">
            <w:pPr>
              <w:rPr>
                <w:rFonts w:cs="Calibri"/>
                <w:b/>
                <w:lang w:val="en-GB"/>
              </w:rPr>
            </w:pPr>
            <w:r w:rsidRPr="00694FA8">
              <w:rPr>
                <w:rFonts w:cs="Calibri"/>
                <w:b/>
                <w:szCs w:val="22"/>
                <w:lang w:val="en-GB"/>
              </w:rPr>
              <w:t>Assessment:</w:t>
            </w:r>
          </w:p>
        </w:tc>
      </w:tr>
      <w:tr w:rsidR="000B2261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1" w:rsidRDefault="00BB15D1" w:rsidP="00BB15D1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L</w:t>
            </w:r>
            <w:r w:rsidR="00694FA8" w:rsidRPr="00694FA8">
              <w:rPr>
                <w:rFonts w:cs="Calibri"/>
              </w:rPr>
              <w:t>aboratorijsk</w:t>
            </w:r>
            <w:r>
              <w:rPr>
                <w:rFonts w:cs="Calibri"/>
              </w:rPr>
              <w:t>e</w:t>
            </w:r>
            <w:r w:rsidR="00694FA8" w:rsidRPr="00694FA8">
              <w:rPr>
                <w:rFonts w:cs="Calibri"/>
              </w:rPr>
              <w:t xml:space="preserve"> vaj</w:t>
            </w:r>
            <w:r>
              <w:rPr>
                <w:rFonts w:cs="Calibri"/>
              </w:rPr>
              <w:t>e</w:t>
            </w:r>
          </w:p>
          <w:p w:rsidR="00BB15D1" w:rsidRDefault="00BB15D1" w:rsidP="00BB15D1">
            <w:pPr>
              <w:rPr>
                <w:rFonts w:cs="Calibri"/>
              </w:rPr>
            </w:pPr>
            <w:r>
              <w:rPr>
                <w:rFonts w:cs="Calibri"/>
              </w:rPr>
              <w:t>P</w:t>
            </w:r>
            <w:r w:rsidR="00694FA8">
              <w:rPr>
                <w:rFonts w:cs="Calibri"/>
              </w:rPr>
              <w:t>raktičn</w:t>
            </w:r>
            <w:r>
              <w:rPr>
                <w:rFonts w:cs="Calibri"/>
              </w:rPr>
              <w:t>o</w:t>
            </w:r>
            <w:r w:rsidR="00694FA8">
              <w:rPr>
                <w:rFonts w:cs="Calibri"/>
              </w:rPr>
              <w:t xml:space="preserve"> </w:t>
            </w:r>
            <w:r w:rsidR="00694FA8" w:rsidRPr="00694FA8">
              <w:rPr>
                <w:rFonts w:cs="Calibri"/>
              </w:rPr>
              <w:t>znanj</w:t>
            </w:r>
            <w:r>
              <w:rPr>
                <w:rFonts w:cs="Calibri"/>
              </w:rPr>
              <w:t>e</w:t>
            </w:r>
            <w:r w:rsidR="00694FA8" w:rsidRPr="00694FA8">
              <w:rPr>
                <w:rFonts w:cs="Calibri"/>
              </w:rPr>
              <w:t xml:space="preserve"> </w:t>
            </w:r>
            <w:r w:rsidR="00694FA8">
              <w:rPr>
                <w:rFonts w:cs="Calibri"/>
              </w:rPr>
              <w:t>(</w:t>
            </w:r>
            <w:r w:rsidR="00694FA8" w:rsidRPr="00694FA8">
              <w:rPr>
                <w:rFonts w:cs="Calibri"/>
              </w:rPr>
              <w:t>pisn</w:t>
            </w:r>
            <w:r w:rsidR="00694FA8">
              <w:rPr>
                <w:rFonts w:cs="Calibri"/>
              </w:rPr>
              <w:t xml:space="preserve">i </w:t>
            </w:r>
            <w:r w:rsidR="00694FA8" w:rsidRPr="00694FA8">
              <w:rPr>
                <w:rFonts w:cs="Calibri"/>
              </w:rPr>
              <w:t>izpit</w:t>
            </w:r>
            <w:r w:rsidR="00694FA8">
              <w:rPr>
                <w:rFonts w:cs="Calibri"/>
              </w:rPr>
              <w:t>)</w:t>
            </w:r>
          </w:p>
          <w:p w:rsidR="000B2261" w:rsidRDefault="00BB15D1" w:rsidP="00BB15D1">
            <w:pPr>
              <w:rPr>
                <w:rFonts w:cs="Calibri"/>
              </w:rPr>
            </w:pPr>
            <w:r>
              <w:rPr>
                <w:rFonts w:cs="Calibri"/>
              </w:rPr>
              <w:t>Teoretično znanje</w:t>
            </w:r>
            <w:r w:rsidR="00694FA8" w:rsidRPr="00694FA8">
              <w:rPr>
                <w:rFonts w:cs="Calibri"/>
              </w:rPr>
              <w:t xml:space="preserve"> </w:t>
            </w:r>
            <w:r w:rsidR="00694FA8">
              <w:rPr>
                <w:rFonts w:cs="Calibri"/>
              </w:rPr>
              <w:t>(ustni</w:t>
            </w:r>
            <w:r w:rsidR="00694FA8" w:rsidRPr="00694FA8">
              <w:rPr>
                <w:rFonts w:cs="Calibri"/>
              </w:rPr>
              <w:t xml:space="preserve"> izpit</w:t>
            </w:r>
            <w:r w:rsidR="00694FA8">
              <w:rPr>
                <w:rFonts w:cs="Calibri"/>
              </w:rPr>
              <w:t>)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261" w:rsidRPr="0058785B" w:rsidRDefault="00BB15D1" w:rsidP="00BB15D1">
            <w:pPr>
              <w:jc w:val="center"/>
              <w:rPr>
                <w:rFonts w:cs="Calibri"/>
              </w:rPr>
            </w:pPr>
            <w:r w:rsidRPr="0058785B">
              <w:rPr>
                <w:rFonts w:cs="Calibri"/>
              </w:rPr>
              <w:t>33%</w:t>
            </w:r>
          </w:p>
          <w:p w:rsidR="00BB15D1" w:rsidRPr="0058785B" w:rsidRDefault="00BB15D1" w:rsidP="00BB15D1">
            <w:pPr>
              <w:jc w:val="center"/>
              <w:rPr>
                <w:rFonts w:cs="Calibri"/>
              </w:rPr>
            </w:pPr>
            <w:r w:rsidRPr="0058785B">
              <w:rPr>
                <w:rFonts w:cs="Calibri"/>
              </w:rPr>
              <w:t>33%</w:t>
            </w:r>
          </w:p>
          <w:p w:rsidR="00BB15D1" w:rsidRPr="00BB15D1" w:rsidRDefault="00BB15D1" w:rsidP="00BB15D1">
            <w:pPr>
              <w:jc w:val="center"/>
              <w:rPr>
                <w:rFonts w:cs="Calibri"/>
              </w:rPr>
            </w:pPr>
            <w:r w:rsidRPr="0058785B">
              <w:rPr>
                <w:rFonts w:cs="Calibri"/>
              </w:rPr>
              <w:t>34%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1" w:rsidRDefault="00BB15D1" w:rsidP="00BB15D1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L</w:t>
            </w:r>
            <w:r w:rsidR="00694FA8">
              <w:rPr>
                <w:rFonts w:cs="Calibri"/>
                <w:lang w:val="en-GB"/>
              </w:rPr>
              <w:t>ab works</w:t>
            </w:r>
          </w:p>
          <w:p w:rsidR="00BB15D1" w:rsidRDefault="00BB15D1" w:rsidP="00BB15D1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P</w:t>
            </w:r>
            <w:r w:rsidR="00694FA8">
              <w:rPr>
                <w:rFonts w:cs="Calibri"/>
                <w:lang w:val="en-GB"/>
              </w:rPr>
              <w:t>ractical knowledge (written exam)</w:t>
            </w:r>
          </w:p>
          <w:p w:rsidR="000B2261" w:rsidRPr="00694FA8" w:rsidRDefault="00BB15D1" w:rsidP="00BB15D1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Theoretical knowledge</w:t>
            </w:r>
            <w:r w:rsidR="00694FA8">
              <w:rPr>
                <w:rFonts w:cs="Calibri"/>
                <w:lang w:val="en-GB"/>
              </w:rPr>
              <w:t xml:space="preserve"> (oral exam)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r w:rsidRPr="00694FA8">
              <w:rPr>
                <w:rFonts w:cs="Calibri"/>
                <w:b/>
                <w:szCs w:val="22"/>
                <w:lang w:val="en-GB"/>
              </w:rPr>
              <w:t>Lecturer's references</w:t>
            </w:r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36" w:rsidRPr="00484992" w:rsidRDefault="004C4136" w:rsidP="00484992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Calibri"/>
              </w:rPr>
            </w:pPr>
            <w:r w:rsidRPr="00484992">
              <w:rPr>
                <w:rFonts w:cs="Calibri"/>
              </w:rPr>
              <w:t xml:space="preserve">Jaka Katrašnik, Franjo Pernuš in Boštjan Likar. </w:t>
            </w:r>
            <w:proofErr w:type="spellStart"/>
            <w:r w:rsidRPr="00484992">
              <w:rPr>
                <w:rFonts w:cs="Calibri"/>
              </w:rPr>
              <w:t>Radiometric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calibration</w:t>
            </w:r>
            <w:proofErr w:type="spellEnd"/>
            <w:r w:rsidRPr="00484992">
              <w:rPr>
                <w:rFonts w:cs="Calibri"/>
              </w:rPr>
              <w:t xml:space="preserve"> and </w:t>
            </w:r>
            <w:proofErr w:type="spellStart"/>
            <w:r w:rsidRPr="00484992">
              <w:rPr>
                <w:rFonts w:cs="Calibri"/>
              </w:rPr>
              <w:t>noise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estimation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of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acousto-optic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tunable</w:t>
            </w:r>
            <w:proofErr w:type="spellEnd"/>
            <w:r w:rsidRPr="00484992">
              <w:rPr>
                <w:rFonts w:cs="Calibri"/>
              </w:rPr>
              <w:t xml:space="preserve"> filter </w:t>
            </w:r>
            <w:proofErr w:type="spellStart"/>
            <w:r w:rsidRPr="00484992">
              <w:rPr>
                <w:rFonts w:cs="Calibri"/>
              </w:rPr>
              <w:t>hyperspectral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imaging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systems</w:t>
            </w:r>
            <w:proofErr w:type="spellEnd"/>
            <w:r w:rsidRPr="00484992">
              <w:rPr>
                <w:rFonts w:cs="Calibri"/>
              </w:rPr>
              <w:t>.</w:t>
            </w:r>
            <w:r w:rsid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Applied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Optics</w:t>
            </w:r>
            <w:proofErr w:type="spellEnd"/>
            <w:r w:rsidRPr="00484992">
              <w:rPr>
                <w:rFonts w:cs="Calibri"/>
              </w:rPr>
              <w:t>, 52(15):3526-3537, 2013.</w:t>
            </w:r>
          </w:p>
          <w:p w:rsidR="004C4136" w:rsidRPr="00484992" w:rsidRDefault="004C4136" w:rsidP="00484992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Calibri"/>
              </w:rPr>
            </w:pPr>
            <w:proofErr w:type="spellStart"/>
            <w:r w:rsidRPr="00484992">
              <w:rPr>
                <w:rFonts w:cs="Calibri"/>
              </w:rPr>
              <w:t>Bulat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Ibragimov</w:t>
            </w:r>
            <w:proofErr w:type="spellEnd"/>
            <w:r w:rsidRPr="00484992">
              <w:rPr>
                <w:rFonts w:cs="Calibri"/>
              </w:rPr>
              <w:t xml:space="preserve">, Boštjan Likar, Franjo Pernuš in Tomaž Vrtovec. </w:t>
            </w:r>
            <w:proofErr w:type="spellStart"/>
            <w:r w:rsidRPr="00484992">
              <w:rPr>
                <w:rFonts w:cs="Calibri"/>
              </w:rPr>
              <w:t>Shape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representation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for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efficient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landmark-based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segmentation</w:t>
            </w:r>
            <w:proofErr w:type="spellEnd"/>
            <w:r w:rsidRPr="00484992">
              <w:rPr>
                <w:rFonts w:cs="Calibri"/>
              </w:rPr>
              <w:t xml:space="preserve"> in 3D.</w:t>
            </w:r>
            <w:r w:rsidR="00484992">
              <w:rPr>
                <w:rFonts w:cs="Calibri"/>
              </w:rPr>
              <w:t xml:space="preserve"> </w:t>
            </w:r>
            <w:r w:rsidRPr="00484992">
              <w:rPr>
                <w:rFonts w:cs="Calibri"/>
              </w:rPr>
              <w:t xml:space="preserve">IEEE </w:t>
            </w:r>
            <w:proofErr w:type="spellStart"/>
            <w:r w:rsidRPr="00484992">
              <w:rPr>
                <w:rFonts w:cs="Calibri"/>
              </w:rPr>
              <w:t>Transactions</w:t>
            </w:r>
            <w:proofErr w:type="spellEnd"/>
            <w:r w:rsidRPr="00484992">
              <w:rPr>
                <w:rFonts w:cs="Calibri"/>
              </w:rPr>
              <w:t xml:space="preserve"> on </w:t>
            </w:r>
            <w:proofErr w:type="spellStart"/>
            <w:r w:rsidRPr="00484992">
              <w:rPr>
                <w:rFonts w:cs="Calibri"/>
              </w:rPr>
              <w:t>Medical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Imaging</w:t>
            </w:r>
            <w:proofErr w:type="spellEnd"/>
            <w:r w:rsidRPr="00484992">
              <w:rPr>
                <w:rFonts w:cs="Calibri"/>
              </w:rPr>
              <w:t>, 33(4):861-874, 2014.</w:t>
            </w:r>
          </w:p>
          <w:p w:rsidR="004C4136" w:rsidRPr="00484992" w:rsidRDefault="004C4136" w:rsidP="00484992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Calibri"/>
              </w:rPr>
            </w:pPr>
            <w:r w:rsidRPr="00484992">
              <w:rPr>
                <w:rFonts w:cs="Calibri"/>
              </w:rPr>
              <w:t xml:space="preserve">Jurij Jemec, Franjo Pernuš, Boštjan Likar in Miran Bürmen. </w:t>
            </w:r>
            <w:proofErr w:type="spellStart"/>
            <w:r w:rsidRPr="00484992">
              <w:rPr>
                <w:rFonts w:cs="Calibri"/>
              </w:rPr>
              <w:t>Push-broom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hyperspectral</w:t>
            </w:r>
            <w:proofErr w:type="spellEnd"/>
            <w:r w:rsidRPr="00484992">
              <w:rPr>
                <w:rFonts w:cs="Calibri"/>
              </w:rPr>
              <w:t xml:space="preserve"> image </w:t>
            </w:r>
            <w:proofErr w:type="spellStart"/>
            <w:r w:rsidRPr="00484992">
              <w:rPr>
                <w:rFonts w:cs="Calibri"/>
              </w:rPr>
              <w:t>calibration</w:t>
            </w:r>
            <w:proofErr w:type="spellEnd"/>
            <w:r w:rsidRPr="00484992">
              <w:rPr>
                <w:rFonts w:cs="Calibri"/>
              </w:rPr>
              <w:t xml:space="preserve"> and </w:t>
            </w:r>
            <w:proofErr w:type="spellStart"/>
            <w:r w:rsidRPr="00484992">
              <w:rPr>
                <w:rFonts w:cs="Calibri"/>
              </w:rPr>
              <w:t>enhancement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by</w:t>
            </w:r>
            <w:proofErr w:type="spellEnd"/>
            <w:r w:rsidRPr="00484992">
              <w:rPr>
                <w:rFonts w:cs="Calibri"/>
              </w:rPr>
              <w:t xml:space="preserve"> 2D </w:t>
            </w:r>
            <w:proofErr w:type="spellStart"/>
            <w:r w:rsidRPr="00484992">
              <w:rPr>
                <w:rFonts w:cs="Calibri"/>
              </w:rPr>
              <w:t>deconvolution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with</w:t>
            </w:r>
            <w:proofErr w:type="spellEnd"/>
            <w:r w:rsidRPr="00484992">
              <w:rPr>
                <w:rFonts w:cs="Calibri"/>
              </w:rPr>
              <w:t xml:space="preserve"> a variant </w:t>
            </w:r>
            <w:proofErr w:type="spellStart"/>
            <w:r w:rsidRPr="00484992">
              <w:rPr>
                <w:rFonts w:cs="Calibri"/>
              </w:rPr>
              <w:t>response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function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estimate</w:t>
            </w:r>
            <w:proofErr w:type="spellEnd"/>
            <w:r w:rsidRPr="00484992">
              <w:rPr>
                <w:rFonts w:cs="Calibri"/>
              </w:rPr>
              <w:t>.</w:t>
            </w:r>
            <w:r w:rsid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Optics</w:t>
            </w:r>
            <w:proofErr w:type="spellEnd"/>
            <w:r w:rsidRPr="00484992">
              <w:rPr>
                <w:rFonts w:cs="Calibri"/>
              </w:rPr>
              <w:t xml:space="preserve"> Express, 22(22):27655--27668, 2014.</w:t>
            </w:r>
          </w:p>
          <w:p w:rsidR="004C4136" w:rsidRPr="00484992" w:rsidRDefault="004C4136" w:rsidP="00484992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Calibri"/>
              </w:rPr>
            </w:pPr>
            <w:r w:rsidRPr="00484992">
              <w:rPr>
                <w:rFonts w:cs="Calibri"/>
              </w:rPr>
              <w:t xml:space="preserve">Tomaž Vrtovec, Franjo Pernuš in Boštjan Likar. </w:t>
            </w:r>
            <w:proofErr w:type="spellStart"/>
            <w:r w:rsidRPr="00484992">
              <w:rPr>
                <w:rFonts w:cs="Calibri"/>
              </w:rPr>
              <w:t>Investigation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of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the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reproducibility</w:t>
            </w:r>
            <w:proofErr w:type="spellEnd"/>
            <w:r w:rsidRPr="00484992">
              <w:rPr>
                <w:rFonts w:cs="Calibri"/>
              </w:rPr>
              <w:t xml:space="preserve"> and </w:t>
            </w:r>
            <w:proofErr w:type="spellStart"/>
            <w:r w:rsidRPr="00484992">
              <w:rPr>
                <w:rFonts w:cs="Calibri"/>
              </w:rPr>
              <w:t>reliability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of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sagittal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vertebral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inclination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measurements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from</w:t>
            </w:r>
            <w:proofErr w:type="spellEnd"/>
            <w:r w:rsidRPr="00484992">
              <w:rPr>
                <w:rFonts w:cs="Calibri"/>
              </w:rPr>
              <w:t xml:space="preserve"> MR </w:t>
            </w:r>
            <w:proofErr w:type="spellStart"/>
            <w:r w:rsidRPr="00484992">
              <w:rPr>
                <w:rFonts w:cs="Calibri"/>
              </w:rPr>
              <w:t>images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of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the</w:t>
            </w:r>
            <w:proofErr w:type="spellEnd"/>
            <w:r w:rsidRPr="00484992">
              <w:rPr>
                <w:rFonts w:cs="Calibri"/>
              </w:rPr>
              <w:t xml:space="preserve"> spine.</w:t>
            </w:r>
            <w:r w:rsid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Computerized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Medical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Imaging</w:t>
            </w:r>
            <w:proofErr w:type="spellEnd"/>
            <w:r w:rsidRPr="00484992">
              <w:rPr>
                <w:rFonts w:cs="Calibri"/>
              </w:rPr>
              <w:t xml:space="preserve"> and </w:t>
            </w:r>
            <w:proofErr w:type="spellStart"/>
            <w:r w:rsidRPr="00484992">
              <w:rPr>
                <w:rFonts w:cs="Calibri"/>
              </w:rPr>
              <w:t>Graphics</w:t>
            </w:r>
            <w:proofErr w:type="spellEnd"/>
            <w:r w:rsidRPr="00484992">
              <w:rPr>
                <w:rFonts w:cs="Calibri"/>
              </w:rPr>
              <w:t>, 38(7):620-627, 2014.</w:t>
            </w:r>
          </w:p>
          <w:p w:rsidR="004C4136" w:rsidRPr="00484992" w:rsidRDefault="004C4136" w:rsidP="00484992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Calibri"/>
              </w:rPr>
            </w:pPr>
            <w:proofErr w:type="spellStart"/>
            <w:r w:rsidRPr="00484992">
              <w:rPr>
                <w:rFonts w:cs="Calibri"/>
              </w:rPr>
              <w:t>Bulat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Ibragimov</w:t>
            </w:r>
            <w:proofErr w:type="spellEnd"/>
            <w:r w:rsidRPr="00484992">
              <w:rPr>
                <w:rFonts w:cs="Calibri"/>
              </w:rPr>
              <w:t xml:space="preserve">, Jerry L. Prince, Emi Z. Murano, </w:t>
            </w:r>
            <w:proofErr w:type="spellStart"/>
            <w:r w:rsidRPr="00484992">
              <w:rPr>
                <w:rFonts w:cs="Calibri"/>
              </w:rPr>
              <w:t>Jonghye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Woo</w:t>
            </w:r>
            <w:proofErr w:type="spellEnd"/>
            <w:r w:rsidRPr="00484992">
              <w:rPr>
                <w:rFonts w:cs="Calibri"/>
              </w:rPr>
              <w:t xml:space="preserve">, </w:t>
            </w:r>
            <w:proofErr w:type="spellStart"/>
            <w:r w:rsidRPr="00484992">
              <w:rPr>
                <w:rFonts w:cs="Calibri"/>
              </w:rPr>
              <w:t>Maureen</w:t>
            </w:r>
            <w:proofErr w:type="spellEnd"/>
            <w:r w:rsidRPr="00484992">
              <w:rPr>
                <w:rFonts w:cs="Calibri"/>
              </w:rPr>
              <w:t xml:space="preserve"> Stone, Boštjan Likar, Franjo Pernuš in Tomaž Vrtovec. </w:t>
            </w:r>
            <w:proofErr w:type="spellStart"/>
            <w:r w:rsidRPr="00484992">
              <w:rPr>
                <w:rFonts w:cs="Calibri"/>
              </w:rPr>
              <w:t>Segmentation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of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tongue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muscles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from</w:t>
            </w:r>
            <w:proofErr w:type="spellEnd"/>
            <w:r w:rsidRPr="00484992">
              <w:rPr>
                <w:rFonts w:cs="Calibri"/>
              </w:rPr>
              <w:t xml:space="preserve"> super-</w:t>
            </w:r>
            <w:proofErr w:type="spellStart"/>
            <w:r w:rsidRPr="00484992">
              <w:rPr>
                <w:rFonts w:cs="Calibri"/>
              </w:rPr>
              <w:t>resolution</w:t>
            </w:r>
            <w:proofErr w:type="spellEnd"/>
            <w:r w:rsidRP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magnetic</w:t>
            </w:r>
            <w:proofErr w:type="spellEnd"/>
            <w:r w:rsidRPr="00484992">
              <w:rPr>
                <w:rFonts w:cs="Calibri"/>
              </w:rPr>
              <w:t xml:space="preserve"> resonance </w:t>
            </w:r>
            <w:proofErr w:type="spellStart"/>
            <w:r w:rsidRPr="00484992">
              <w:rPr>
                <w:rFonts w:cs="Calibri"/>
              </w:rPr>
              <w:t>images</w:t>
            </w:r>
            <w:proofErr w:type="spellEnd"/>
            <w:r w:rsidRPr="00484992">
              <w:rPr>
                <w:rFonts w:cs="Calibri"/>
              </w:rPr>
              <w:t>.</w:t>
            </w:r>
            <w:r w:rsidR="00484992">
              <w:rPr>
                <w:rFonts w:cs="Calibri"/>
              </w:rPr>
              <w:t xml:space="preserve"> </w:t>
            </w:r>
            <w:proofErr w:type="spellStart"/>
            <w:r w:rsidRPr="00484992">
              <w:rPr>
                <w:rFonts w:cs="Calibri"/>
              </w:rPr>
              <w:t>Medical</w:t>
            </w:r>
            <w:proofErr w:type="spellEnd"/>
            <w:r w:rsidRPr="00484992">
              <w:rPr>
                <w:rFonts w:cs="Calibri"/>
              </w:rPr>
              <w:t xml:space="preserve"> Image </w:t>
            </w:r>
            <w:proofErr w:type="spellStart"/>
            <w:r w:rsidRPr="00484992">
              <w:rPr>
                <w:rFonts w:cs="Calibri"/>
              </w:rPr>
              <w:t>Analysis</w:t>
            </w:r>
            <w:proofErr w:type="spellEnd"/>
            <w:r w:rsidRPr="00484992">
              <w:rPr>
                <w:rFonts w:cs="Calibri"/>
              </w:rPr>
              <w:t>, 20(1):198-207, 2015.</w:t>
            </w:r>
          </w:p>
          <w:p w:rsidR="004C4136" w:rsidRDefault="004C4136" w:rsidP="004C4136">
            <w:pPr>
              <w:rPr>
                <w:rFonts w:cs="Calibri"/>
              </w:rPr>
            </w:pP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B0667A"/>
    <w:multiLevelType w:val="hybridMultilevel"/>
    <w:tmpl w:val="6B8E82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C222D"/>
    <w:multiLevelType w:val="hybridMultilevel"/>
    <w:tmpl w:val="B77801F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D411A04"/>
    <w:multiLevelType w:val="hybridMultilevel"/>
    <w:tmpl w:val="646840D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703E4"/>
    <w:rsid w:val="000B2261"/>
    <w:rsid w:val="000C2C3D"/>
    <w:rsid w:val="000D65BD"/>
    <w:rsid w:val="000E605D"/>
    <w:rsid w:val="000F41E9"/>
    <w:rsid w:val="001509CC"/>
    <w:rsid w:val="0018213C"/>
    <w:rsid w:val="001B60F1"/>
    <w:rsid w:val="001C5CD1"/>
    <w:rsid w:val="001D5408"/>
    <w:rsid w:val="00207896"/>
    <w:rsid w:val="002724BA"/>
    <w:rsid w:val="002F300A"/>
    <w:rsid w:val="003618A2"/>
    <w:rsid w:val="00384EDA"/>
    <w:rsid w:val="003D48ED"/>
    <w:rsid w:val="0043411A"/>
    <w:rsid w:val="00484992"/>
    <w:rsid w:val="004C4136"/>
    <w:rsid w:val="004D6761"/>
    <w:rsid w:val="004D72C5"/>
    <w:rsid w:val="00530AB8"/>
    <w:rsid w:val="0053523E"/>
    <w:rsid w:val="0058785B"/>
    <w:rsid w:val="005903BA"/>
    <w:rsid w:val="005D475F"/>
    <w:rsid w:val="006227E7"/>
    <w:rsid w:val="006253E7"/>
    <w:rsid w:val="006432C5"/>
    <w:rsid w:val="00694FA8"/>
    <w:rsid w:val="006A4806"/>
    <w:rsid w:val="00784B8D"/>
    <w:rsid w:val="0082408F"/>
    <w:rsid w:val="008F6996"/>
    <w:rsid w:val="0099267E"/>
    <w:rsid w:val="009E78A9"/>
    <w:rsid w:val="00A024F8"/>
    <w:rsid w:val="00A02BF5"/>
    <w:rsid w:val="00AE692F"/>
    <w:rsid w:val="00B12423"/>
    <w:rsid w:val="00B37024"/>
    <w:rsid w:val="00B87B5F"/>
    <w:rsid w:val="00BA1F90"/>
    <w:rsid w:val="00BB15D1"/>
    <w:rsid w:val="00C043A7"/>
    <w:rsid w:val="00C16E51"/>
    <w:rsid w:val="00C44581"/>
    <w:rsid w:val="00C57F5A"/>
    <w:rsid w:val="00D60066"/>
    <w:rsid w:val="00D6782B"/>
    <w:rsid w:val="00E2260F"/>
    <w:rsid w:val="00E658B3"/>
    <w:rsid w:val="00E948BA"/>
    <w:rsid w:val="00EF7242"/>
    <w:rsid w:val="00F41409"/>
    <w:rsid w:val="00F547F3"/>
    <w:rsid w:val="00F8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78340E-12C1-45B4-B5AF-56FF8880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060A2-DC27-450D-8084-C3145D33B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857</Words>
  <Characters>4890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18</cp:revision>
  <dcterms:created xsi:type="dcterms:W3CDTF">2015-03-13T11:15:00Z</dcterms:created>
  <dcterms:modified xsi:type="dcterms:W3CDTF">2016-06-02T20:03:00Z</dcterms:modified>
</cp:coreProperties>
</file>