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AB7C44"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AB7C44" w:rsidRDefault="00D60066">
            <w:pPr>
              <w:jc w:val="center"/>
              <w:rPr>
                <w:rFonts w:asciiTheme="minorHAnsi" w:hAnsiTheme="minorHAnsi" w:cs="Calibri"/>
                <w:b/>
              </w:rPr>
            </w:pPr>
            <w:r w:rsidRPr="00AB7C44">
              <w:rPr>
                <w:rFonts w:asciiTheme="minorHAnsi" w:hAnsiTheme="minorHAnsi" w:cs="Calibri"/>
                <w:b/>
              </w:rPr>
              <w:t>UČNI NAČRT PREDMETA / COURSE SYLLABUS</w:t>
            </w:r>
          </w:p>
        </w:tc>
      </w:tr>
      <w:tr w:rsidR="00D60066" w:rsidRPr="00AB7C44" w:rsidTr="00384EDA">
        <w:tc>
          <w:tcPr>
            <w:tcW w:w="1799" w:type="dxa"/>
            <w:gridSpan w:val="3"/>
            <w:hideMark/>
          </w:tcPr>
          <w:p w:rsidR="00D60066" w:rsidRPr="00AB7C44" w:rsidRDefault="00D60066">
            <w:pPr>
              <w:rPr>
                <w:rFonts w:asciiTheme="minorHAnsi" w:hAnsiTheme="minorHAnsi" w:cs="Calibri"/>
                <w:b/>
              </w:rPr>
            </w:pPr>
            <w:r w:rsidRPr="00AB7C44">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AB7C44" w:rsidRDefault="00DA5551">
            <w:pPr>
              <w:rPr>
                <w:rFonts w:asciiTheme="minorHAnsi" w:hAnsiTheme="minorHAnsi" w:cs="Calibri"/>
              </w:rPr>
            </w:pPr>
            <w:bookmarkStart w:id="0" w:name="Predmet"/>
            <w:bookmarkEnd w:id="0"/>
            <w:r w:rsidRPr="00AB7C44">
              <w:rPr>
                <w:rFonts w:asciiTheme="minorHAnsi" w:hAnsiTheme="minorHAnsi"/>
              </w:rPr>
              <w:t>Modul B: Evropska tehniška zakonodaja in infrastruktura</w:t>
            </w:r>
          </w:p>
        </w:tc>
      </w:tr>
      <w:tr w:rsidR="00D60066" w:rsidRPr="00AB7C44" w:rsidTr="00384EDA">
        <w:tc>
          <w:tcPr>
            <w:tcW w:w="1799" w:type="dxa"/>
            <w:gridSpan w:val="3"/>
            <w:hideMark/>
          </w:tcPr>
          <w:p w:rsidR="00D60066" w:rsidRPr="00AB7C44" w:rsidRDefault="00D60066">
            <w:pPr>
              <w:rPr>
                <w:rFonts w:asciiTheme="minorHAnsi" w:hAnsiTheme="minorHAnsi" w:cs="Calibri"/>
                <w:b/>
              </w:rPr>
            </w:pPr>
            <w:r w:rsidRPr="00AB7C44">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AB7C44" w:rsidRDefault="00DA5551">
            <w:pPr>
              <w:rPr>
                <w:rFonts w:asciiTheme="minorHAnsi" w:hAnsiTheme="minorHAnsi" w:cs="Calibri"/>
              </w:rPr>
            </w:pPr>
            <w:bookmarkStart w:id="1" w:name="APredmet"/>
            <w:bookmarkEnd w:id="1"/>
            <w:r w:rsidRPr="00AB7C44">
              <w:rPr>
                <w:rFonts w:asciiTheme="minorHAnsi" w:hAnsiTheme="minorHAnsi"/>
                <w:lang w:bidi="si-LK"/>
              </w:rPr>
              <w:t>Module</w:t>
            </w:r>
            <w:r w:rsidRPr="00AB7C44">
              <w:rPr>
                <w:rFonts w:asciiTheme="minorHAnsi" w:hAnsiTheme="minorHAnsi"/>
              </w:rPr>
              <w:t xml:space="preserve"> B: European Technical Legislation and Infrastructure</w:t>
            </w:r>
          </w:p>
        </w:tc>
      </w:tr>
      <w:tr w:rsidR="00D60066" w:rsidRPr="00AB7C44" w:rsidTr="00384EDA">
        <w:tc>
          <w:tcPr>
            <w:tcW w:w="3307" w:type="dxa"/>
            <w:gridSpan w:val="5"/>
            <w:vAlign w:val="center"/>
          </w:tcPr>
          <w:p w:rsidR="00D60066" w:rsidRPr="00AB7C44" w:rsidRDefault="00D60066">
            <w:pPr>
              <w:jc w:val="center"/>
              <w:rPr>
                <w:rFonts w:asciiTheme="minorHAnsi" w:hAnsiTheme="minorHAnsi" w:cs="Calibri"/>
                <w:b/>
              </w:rPr>
            </w:pPr>
          </w:p>
        </w:tc>
        <w:tc>
          <w:tcPr>
            <w:tcW w:w="3401" w:type="dxa"/>
            <w:gridSpan w:val="8"/>
            <w:vAlign w:val="center"/>
          </w:tcPr>
          <w:p w:rsidR="00D60066" w:rsidRPr="00AB7C44" w:rsidRDefault="00D60066">
            <w:pPr>
              <w:jc w:val="center"/>
              <w:rPr>
                <w:rFonts w:asciiTheme="minorHAnsi" w:hAnsiTheme="minorHAnsi" w:cs="Calibri"/>
                <w:b/>
              </w:rPr>
            </w:pPr>
          </w:p>
        </w:tc>
        <w:tc>
          <w:tcPr>
            <w:tcW w:w="1558" w:type="dxa"/>
            <w:gridSpan w:val="2"/>
            <w:vAlign w:val="center"/>
          </w:tcPr>
          <w:p w:rsidR="00D60066" w:rsidRPr="00AB7C44" w:rsidRDefault="00D60066">
            <w:pPr>
              <w:jc w:val="center"/>
              <w:rPr>
                <w:rFonts w:asciiTheme="minorHAnsi" w:hAnsiTheme="minorHAnsi" w:cs="Calibri"/>
                <w:b/>
              </w:rPr>
            </w:pPr>
          </w:p>
        </w:tc>
        <w:tc>
          <w:tcPr>
            <w:tcW w:w="1424" w:type="dxa"/>
            <w:gridSpan w:val="3"/>
            <w:vAlign w:val="center"/>
          </w:tcPr>
          <w:p w:rsidR="00D60066" w:rsidRPr="00AB7C44" w:rsidRDefault="00D60066">
            <w:pPr>
              <w:jc w:val="center"/>
              <w:rPr>
                <w:rFonts w:asciiTheme="minorHAnsi" w:hAnsiTheme="minorHAnsi" w:cs="Calibri"/>
                <w:b/>
              </w:rPr>
            </w:pPr>
          </w:p>
        </w:tc>
      </w:tr>
      <w:tr w:rsidR="00D60066" w:rsidRPr="00AB7C44" w:rsidTr="00384EDA">
        <w:tc>
          <w:tcPr>
            <w:tcW w:w="3307" w:type="dxa"/>
            <w:gridSpan w:val="5"/>
            <w:tcBorders>
              <w:top w:val="nil"/>
              <w:left w:val="nil"/>
              <w:bottom w:val="single" w:sz="4" w:space="0" w:color="auto"/>
              <w:right w:val="nil"/>
            </w:tcBorders>
            <w:vAlign w:val="center"/>
            <w:hideMark/>
          </w:tcPr>
          <w:p w:rsidR="00D60066" w:rsidRPr="00AB7C44" w:rsidRDefault="00D60066">
            <w:pPr>
              <w:jc w:val="center"/>
              <w:rPr>
                <w:rFonts w:asciiTheme="minorHAnsi" w:hAnsiTheme="minorHAnsi" w:cs="Calibri"/>
                <w:b/>
              </w:rPr>
            </w:pPr>
            <w:r w:rsidRPr="00AB7C44">
              <w:rPr>
                <w:rFonts w:asciiTheme="minorHAnsi" w:hAnsiTheme="minorHAnsi" w:cs="Calibri"/>
                <w:b/>
              </w:rPr>
              <w:t>Študijski program in stopnja</w:t>
            </w:r>
          </w:p>
          <w:p w:rsidR="00D60066" w:rsidRPr="00AB7C44" w:rsidRDefault="00D60066">
            <w:pPr>
              <w:jc w:val="center"/>
              <w:rPr>
                <w:rFonts w:asciiTheme="minorHAnsi" w:hAnsiTheme="minorHAnsi" w:cs="Calibri"/>
              </w:rPr>
            </w:pPr>
            <w:r w:rsidRPr="00AB7C44">
              <w:rPr>
                <w:rFonts w:asciiTheme="minorHAnsi" w:hAnsiTheme="minorHAnsi" w:cs="Calibri"/>
                <w:b/>
              </w:rPr>
              <w:t>Study programme and level</w:t>
            </w:r>
          </w:p>
        </w:tc>
        <w:tc>
          <w:tcPr>
            <w:tcW w:w="3401" w:type="dxa"/>
            <w:gridSpan w:val="8"/>
            <w:tcBorders>
              <w:top w:val="nil"/>
              <w:left w:val="nil"/>
              <w:bottom w:val="single" w:sz="4" w:space="0" w:color="auto"/>
              <w:right w:val="nil"/>
            </w:tcBorders>
            <w:vAlign w:val="center"/>
            <w:hideMark/>
          </w:tcPr>
          <w:p w:rsidR="00D60066" w:rsidRPr="00AB7C44" w:rsidRDefault="00D60066">
            <w:pPr>
              <w:jc w:val="center"/>
              <w:rPr>
                <w:rFonts w:asciiTheme="minorHAnsi" w:hAnsiTheme="minorHAnsi" w:cs="Calibri"/>
                <w:b/>
              </w:rPr>
            </w:pPr>
            <w:r w:rsidRPr="00AB7C44">
              <w:rPr>
                <w:rFonts w:asciiTheme="minorHAnsi" w:hAnsiTheme="minorHAnsi" w:cs="Calibri"/>
                <w:b/>
              </w:rPr>
              <w:t>Študijska smer</w:t>
            </w:r>
          </w:p>
          <w:p w:rsidR="00D60066" w:rsidRPr="00AB7C44" w:rsidRDefault="00D60066">
            <w:pPr>
              <w:jc w:val="center"/>
              <w:rPr>
                <w:rFonts w:asciiTheme="minorHAnsi" w:hAnsiTheme="minorHAnsi" w:cs="Calibri"/>
                <w:b/>
              </w:rPr>
            </w:pPr>
            <w:r w:rsidRPr="00AB7C44">
              <w:rPr>
                <w:rFonts w:asciiTheme="minorHAnsi" w:hAnsiTheme="minorHAnsi" w:cs="Calibri"/>
                <w:b/>
              </w:rPr>
              <w:t>Study field</w:t>
            </w:r>
          </w:p>
        </w:tc>
        <w:tc>
          <w:tcPr>
            <w:tcW w:w="1558" w:type="dxa"/>
            <w:gridSpan w:val="2"/>
            <w:tcBorders>
              <w:top w:val="nil"/>
              <w:left w:val="nil"/>
              <w:bottom w:val="single" w:sz="4" w:space="0" w:color="auto"/>
              <w:right w:val="nil"/>
            </w:tcBorders>
            <w:vAlign w:val="center"/>
            <w:hideMark/>
          </w:tcPr>
          <w:p w:rsidR="00D60066" w:rsidRPr="00AB7C44" w:rsidRDefault="00D60066">
            <w:pPr>
              <w:jc w:val="center"/>
              <w:rPr>
                <w:rFonts w:asciiTheme="minorHAnsi" w:hAnsiTheme="minorHAnsi" w:cs="Calibri"/>
                <w:b/>
              </w:rPr>
            </w:pPr>
            <w:r w:rsidRPr="00AB7C44">
              <w:rPr>
                <w:rFonts w:asciiTheme="minorHAnsi" w:hAnsiTheme="minorHAnsi" w:cs="Calibri"/>
                <w:b/>
              </w:rPr>
              <w:t>Letnik</w:t>
            </w:r>
          </w:p>
          <w:p w:rsidR="00D60066" w:rsidRPr="00AB7C44" w:rsidRDefault="00D60066">
            <w:pPr>
              <w:jc w:val="center"/>
              <w:rPr>
                <w:rFonts w:asciiTheme="minorHAnsi" w:hAnsiTheme="minorHAnsi" w:cs="Calibri"/>
                <w:b/>
              </w:rPr>
            </w:pPr>
            <w:r w:rsidRPr="00AB7C44">
              <w:rPr>
                <w:rFonts w:asciiTheme="minorHAnsi" w:hAnsiTheme="minorHAnsi" w:cs="Calibri"/>
                <w:b/>
              </w:rPr>
              <w:t>Academic year</w:t>
            </w:r>
          </w:p>
        </w:tc>
        <w:tc>
          <w:tcPr>
            <w:tcW w:w="1424" w:type="dxa"/>
            <w:gridSpan w:val="3"/>
            <w:tcBorders>
              <w:top w:val="nil"/>
              <w:left w:val="nil"/>
              <w:bottom w:val="single" w:sz="4" w:space="0" w:color="auto"/>
              <w:right w:val="nil"/>
            </w:tcBorders>
            <w:vAlign w:val="center"/>
            <w:hideMark/>
          </w:tcPr>
          <w:p w:rsidR="00D60066" w:rsidRPr="00AB7C44" w:rsidRDefault="00D60066">
            <w:pPr>
              <w:jc w:val="center"/>
              <w:rPr>
                <w:rFonts w:asciiTheme="minorHAnsi" w:hAnsiTheme="minorHAnsi" w:cs="Calibri"/>
                <w:b/>
              </w:rPr>
            </w:pPr>
            <w:r w:rsidRPr="00AB7C44">
              <w:rPr>
                <w:rFonts w:asciiTheme="minorHAnsi" w:hAnsiTheme="minorHAnsi" w:cs="Calibri"/>
                <w:b/>
              </w:rPr>
              <w:t>Semester</w:t>
            </w:r>
          </w:p>
          <w:p w:rsidR="00D60066" w:rsidRPr="00AB7C44" w:rsidRDefault="00D60066">
            <w:pPr>
              <w:jc w:val="center"/>
              <w:rPr>
                <w:rFonts w:asciiTheme="minorHAnsi" w:hAnsiTheme="minorHAnsi" w:cs="Calibri"/>
                <w:b/>
              </w:rPr>
            </w:pPr>
            <w:r w:rsidRPr="00AB7C44">
              <w:rPr>
                <w:rFonts w:asciiTheme="minorHAnsi" w:hAnsiTheme="minorHAnsi" w:cs="Calibri"/>
                <w:b/>
              </w:rPr>
              <w:t>Semester</w:t>
            </w:r>
          </w:p>
        </w:tc>
      </w:tr>
      <w:tr w:rsidR="00406A37" w:rsidRPr="00AB7C44"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406A37" w:rsidRPr="00AB7C44" w:rsidRDefault="00406A37" w:rsidP="00406A37">
            <w:pPr>
              <w:jc w:val="center"/>
              <w:rPr>
                <w:rFonts w:asciiTheme="minorHAnsi" w:hAnsiTheme="minorHAnsi" w:cs="Calibri"/>
                <w:bCs/>
              </w:rPr>
            </w:pPr>
            <w:r w:rsidRPr="00AB7C44">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406A37" w:rsidRPr="00AB7C44" w:rsidRDefault="0011662C" w:rsidP="00406A37">
            <w:pPr>
              <w:jc w:val="center"/>
              <w:rPr>
                <w:rFonts w:asciiTheme="minorHAnsi" w:hAnsiTheme="minorHAnsi" w:cs="Calibri"/>
                <w:bCs/>
              </w:rPr>
            </w:pPr>
            <w:r w:rsidRPr="00AB7C44">
              <w:rPr>
                <w:rFonts w:asciiTheme="minorHAnsi" w:hAnsiTheme="minorHAnsi" w:cs="Calibri"/>
                <w:bCs/>
              </w:rPr>
              <w:t xml:space="preserve">Vse smeri </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406A37" w:rsidRPr="00AB7C44" w:rsidRDefault="00406A37" w:rsidP="00406A37">
            <w:pPr>
              <w:pStyle w:val="ListParagraph"/>
              <w:ind w:left="0"/>
              <w:jc w:val="center"/>
              <w:rPr>
                <w:rFonts w:asciiTheme="minorHAnsi" w:hAnsiTheme="minorHAnsi" w:cs="Calibri"/>
                <w:bCs/>
              </w:rPr>
            </w:pPr>
            <w:r w:rsidRPr="00AB7C44">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406A37" w:rsidRPr="00AB7C44" w:rsidRDefault="00DA5551" w:rsidP="00406A37">
            <w:pPr>
              <w:jc w:val="center"/>
              <w:rPr>
                <w:rFonts w:asciiTheme="minorHAnsi" w:hAnsiTheme="minorHAnsi" w:cs="Calibri"/>
                <w:bCs/>
              </w:rPr>
            </w:pPr>
            <w:r w:rsidRPr="00AB7C44">
              <w:rPr>
                <w:rFonts w:asciiTheme="minorHAnsi" w:hAnsiTheme="minorHAnsi" w:cs="Calibri"/>
                <w:bCs/>
              </w:rPr>
              <w:t>2</w:t>
            </w:r>
          </w:p>
        </w:tc>
      </w:tr>
      <w:tr w:rsidR="00406A37" w:rsidRPr="00AB7C44"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406A37" w:rsidRPr="00AB7C44" w:rsidRDefault="00406A37" w:rsidP="00406A37">
            <w:pPr>
              <w:jc w:val="center"/>
              <w:rPr>
                <w:rFonts w:asciiTheme="minorHAnsi" w:hAnsiTheme="minorHAnsi" w:cs="Calibri"/>
                <w:b/>
                <w:bCs/>
              </w:rPr>
            </w:pPr>
            <w:r w:rsidRPr="00AB7C44">
              <w:rPr>
                <w:rFonts w:asciiTheme="minorHAnsi" w:hAnsiTheme="minorHAnsi"/>
                <w:lang w:val="en-GB"/>
              </w:rPr>
              <w:t>2</w:t>
            </w:r>
            <w:r w:rsidRPr="00AB7C44">
              <w:rPr>
                <w:rFonts w:asciiTheme="minorHAnsi" w:hAnsiTheme="minorHAnsi"/>
                <w:vertAlign w:val="superscript"/>
                <w:lang w:val="en-GB"/>
              </w:rPr>
              <w:t>nd</w:t>
            </w:r>
            <w:r w:rsidRPr="00AB7C44">
              <w:rPr>
                <w:rFonts w:asciiTheme="minorHAnsi" w:hAnsiTheme="minorHAnsi"/>
                <w:lang w:val="en-GB"/>
              </w:rPr>
              <w:t xml:space="preserve"> cycle masters study </w:t>
            </w:r>
            <w:r w:rsidRPr="00AB7C44">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406A37" w:rsidRPr="00AB7C44" w:rsidRDefault="0011662C" w:rsidP="0011662C">
            <w:pPr>
              <w:jc w:val="center"/>
              <w:rPr>
                <w:rFonts w:asciiTheme="minorHAnsi" w:hAnsiTheme="minorHAnsi" w:cs="Calibri"/>
                <w:bCs/>
              </w:rPr>
            </w:pPr>
            <w:r w:rsidRPr="00AB7C44">
              <w:rPr>
                <w:rFonts w:asciiTheme="minorHAnsi" w:hAnsiTheme="minorHAnsi" w:cs="Calibri"/>
                <w:bCs/>
              </w:rPr>
              <w:t>All study fields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406A37" w:rsidRPr="00AB7C44" w:rsidRDefault="00406A37" w:rsidP="00406A37">
            <w:pPr>
              <w:jc w:val="center"/>
              <w:rPr>
                <w:rFonts w:asciiTheme="minorHAnsi" w:hAnsiTheme="minorHAnsi" w:cs="Calibri"/>
                <w:bCs/>
                <w:highlight w:val="green"/>
              </w:rPr>
            </w:pPr>
            <w:r w:rsidRPr="00AB7C44">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406A37" w:rsidRPr="00AB7C44" w:rsidRDefault="00DA5551" w:rsidP="00406A37">
            <w:pPr>
              <w:jc w:val="center"/>
              <w:rPr>
                <w:rFonts w:asciiTheme="minorHAnsi" w:hAnsiTheme="minorHAnsi" w:cs="Calibri"/>
                <w:bCs/>
              </w:rPr>
            </w:pPr>
            <w:r w:rsidRPr="00AB7C44">
              <w:rPr>
                <w:rFonts w:asciiTheme="minorHAnsi" w:hAnsiTheme="minorHAnsi" w:cs="Calibri"/>
                <w:bCs/>
              </w:rPr>
              <w:t>2</w:t>
            </w:r>
          </w:p>
        </w:tc>
      </w:tr>
      <w:tr w:rsidR="00406A37" w:rsidRPr="00AB7C44" w:rsidTr="00384EDA">
        <w:trPr>
          <w:trHeight w:val="103"/>
        </w:trPr>
        <w:tc>
          <w:tcPr>
            <w:tcW w:w="9690" w:type="dxa"/>
            <w:gridSpan w:val="18"/>
          </w:tcPr>
          <w:p w:rsidR="00406A37" w:rsidRPr="00AB7C44" w:rsidRDefault="00406A37" w:rsidP="00406A37">
            <w:pPr>
              <w:rPr>
                <w:rFonts w:asciiTheme="minorHAnsi" w:hAnsiTheme="minorHAnsi" w:cs="Calibri"/>
                <w:b/>
                <w:bCs/>
              </w:rPr>
            </w:pPr>
          </w:p>
        </w:tc>
      </w:tr>
      <w:tr w:rsidR="00406A37" w:rsidRPr="00AB7C44" w:rsidTr="00384EDA">
        <w:tc>
          <w:tcPr>
            <w:tcW w:w="5718" w:type="dxa"/>
            <w:gridSpan w:val="12"/>
            <w:tcBorders>
              <w:top w:val="nil"/>
              <w:left w:val="nil"/>
              <w:bottom w:val="nil"/>
              <w:right w:val="single" w:sz="4" w:space="0" w:color="auto"/>
            </w:tcBorders>
            <w:hideMark/>
          </w:tcPr>
          <w:p w:rsidR="00406A37" w:rsidRPr="00AB7C44" w:rsidRDefault="00406A37" w:rsidP="00406A37">
            <w:pPr>
              <w:rPr>
                <w:rFonts w:asciiTheme="minorHAnsi" w:hAnsiTheme="minorHAnsi" w:cs="Calibri"/>
                <w:b/>
              </w:rPr>
            </w:pPr>
            <w:r w:rsidRPr="00AB7C44">
              <w:rPr>
                <w:rFonts w:asciiTheme="minorHAnsi" w:hAnsiTheme="minorHAnsi" w:cs="Calibri"/>
                <w:b/>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406A37" w:rsidRPr="00AB7C44" w:rsidRDefault="0035424F" w:rsidP="00FE420F">
            <w:pPr>
              <w:jc w:val="right"/>
              <w:rPr>
                <w:rFonts w:asciiTheme="minorHAnsi" w:hAnsiTheme="minorHAnsi" w:cs="Calibri"/>
              </w:rPr>
            </w:pPr>
            <w:r w:rsidRPr="00AB7C44">
              <w:rPr>
                <w:rFonts w:asciiTheme="minorHAnsi" w:hAnsiTheme="minorHAnsi"/>
                <w:lang w:val="en-GB"/>
              </w:rPr>
              <w:t xml:space="preserve">Izbirni-strokovni /elective  professional </w:t>
            </w:r>
          </w:p>
        </w:tc>
      </w:tr>
      <w:tr w:rsidR="00406A37" w:rsidRPr="00AB7C44" w:rsidTr="00384EDA">
        <w:tc>
          <w:tcPr>
            <w:tcW w:w="5718" w:type="dxa"/>
            <w:gridSpan w:val="12"/>
          </w:tcPr>
          <w:p w:rsidR="00406A37" w:rsidRPr="00AB7C44" w:rsidRDefault="00406A37" w:rsidP="00406A37">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406A37" w:rsidRPr="00AB7C44" w:rsidRDefault="00406A37" w:rsidP="00406A37">
            <w:pPr>
              <w:rPr>
                <w:rFonts w:asciiTheme="minorHAnsi" w:hAnsiTheme="minorHAnsi" w:cs="Calibri"/>
              </w:rPr>
            </w:pPr>
          </w:p>
        </w:tc>
      </w:tr>
      <w:tr w:rsidR="00406A37" w:rsidRPr="00AB7C44" w:rsidTr="00384EDA">
        <w:tc>
          <w:tcPr>
            <w:tcW w:w="5718" w:type="dxa"/>
            <w:gridSpan w:val="12"/>
            <w:tcBorders>
              <w:top w:val="nil"/>
              <w:left w:val="nil"/>
              <w:bottom w:val="nil"/>
              <w:right w:val="single" w:sz="4" w:space="0" w:color="auto"/>
            </w:tcBorders>
            <w:hideMark/>
          </w:tcPr>
          <w:p w:rsidR="00406A37" w:rsidRPr="00AB7C44" w:rsidRDefault="00406A37" w:rsidP="00406A37">
            <w:pPr>
              <w:rPr>
                <w:rFonts w:asciiTheme="minorHAnsi" w:hAnsiTheme="minorHAnsi" w:cs="Calibri"/>
                <w:b/>
              </w:rPr>
            </w:pPr>
            <w:r w:rsidRPr="00AB7C44">
              <w:rPr>
                <w:rFonts w:asciiTheme="minorHAnsi" w:hAnsiTheme="minorHAnsi" w:cs="Calibri"/>
                <w:b/>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406A37" w:rsidRPr="00AB7C44" w:rsidRDefault="0035424F" w:rsidP="00406A37">
            <w:pPr>
              <w:rPr>
                <w:rFonts w:asciiTheme="minorHAnsi" w:hAnsiTheme="minorHAnsi" w:cs="Calibri"/>
              </w:rPr>
            </w:pPr>
            <w:r w:rsidRPr="00AB7C44">
              <w:rPr>
                <w:rFonts w:asciiTheme="minorHAnsi" w:hAnsiTheme="minorHAnsi" w:cs="Calibri"/>
              </w:rPr>
              <w:t>642</w:t>
            </w:r>
            <w:r w:rsidR="00DA5551" w:rsidRPr="00AB7C44">
              <w:rPr>
                <w:rFonts w:asciiTheme="minorHAnsi" w:hAnsiTheme="minorHAnsi" w:cs="Calibri"/>
              </w:rPr>
              <w:t>60</w:t>
            </w:r>
          </w:p>
        </w:tc>
      </w:tr>
      <w:tr w:rsidR="00406A37" w:rsidRPr="00AB7C44" w:rsidTr="00384EDA">
        <w:tc>
          <w:tcPr>
            <w:tcW w:w="9690" w:type="dxa"/>
            <w:gridSpan w:val="18"/>
          </w:tcPr>
          <w:p w:rsidR="00406A37" w:rsidRPr="00AB7C44" w:rsidRDefault="00406A37" w:rsidP="00406A37">
            <w:pPr>
              <w:rPr>
                <w:rFonts w:asciiTheme="minorHAnsi" w:hAnsiTheme="minorHAnsi" w:cs="Calibri"/>
              </w:rPr>
            </w:pPr>
          </w:p>
        </w:tc>
      </w:tr>
      <w:tr w:rsidR="00406A37" w:rsidRPr="00AB7C44" w:rsidTr="00384EDA">
        <w:tc>
          <w:tcPr>
            <w:tcW w:w="1410" w:type="dxa"/>
            <w:tcBorders>
              <w:top w:val="nil"/>
              <w:left w:val="nil"/>
              <w:bottom w:val="single" w:sz="4" w:space="0" w:color="auto"/>
              <w:right w:val="nil"/>
            </w:tcBorders>
            <w:vAlign w:val="center"/>
            <w:hideMark/>
          </w:tcPr>
          <w:p w:rsidR="00406A37" w:rsidRPr="00AB7C44" w:rsidRDefault="00406A37" w:rsidP="00406A37">
            <w:pPr>
              <w:jc w:val="center"/>
              <w:rPr>
                <w:rFonts w:asciiTheme="minorHAnsi" w:hAnsiTheme="minorHAnsi" w:cs="Calibri"/>
                <w:b/>
              </w:rPr>
            </w:pPr>
            <w:r w:rsidRPr="00AB7C44">
              <w:rPr>
                <w:rFonts w:asciiTheme="minorHAnsi" w:hAnsiTheme="minorHAnsi" w:cs="Calibri"/>
                <w:b/>
              </w:rPr>
              <w:t>Predavanja</w:t>
            </w:r>
          </w:p>
          <w:p w:rsidR="00406A37" w:rsidRPr="00AB7C44" w:rsidRDefault="00406A37" w:rsidP="00406A37">
            <w:pPr>
              <w:jc w:val="center"/>
              <w:rPr>
                <w:rFonts w:asciiTheme="minorHAnsi" w:hAnsiTheme="minorHAnsi" w:cs="Calibri"/>
              </w:rPr>
            </w:pPr>
            <w:r w:rsidRPr="00AB7C44">
              <w:rPr>
                <w:rFonts w:asciiTheme="minorHAnsi" w:hAnsiTheme="minorHAnsi" w:cs="Calibri"/>
                <w:b/>
              </w:rPr>
              <w:t>Lectures</w:t>
            </w:r>
          </w:p>
        </w:tc>
        <w:tc>
          <w:tcPr>
            <w:tcW w:w="1410" w:type="dxa"/>
            <w:gridSpan w:val="3"/>
            <w:tcBorders>
              <w:top w:val="nil"/>
              <w:left w:val="nil"/>
              <w:bottom w:val="single" w:sz="4" w:space="0" w:color="auto"/>
              <w:right w:val="nil"/>
            </w:tcBorders>
            <w:vAlign w:val="center"/>
            <w:hideMark/>
          </w:tcPr>
          <w:p w:rsidR="00406A37" w:rsidRPr="00AB7C44" w:rsidRDefault="00406A37" w:rsidP="00406A37">
            <w:pPr>
              <w:jc w:val="center"/>
              <w:rPr>
                <w:rFonts w:asciiTheme="minorHAnsi" w:hAnsiTheme="minorHAnsi" w:cs="Calibri"/>
                <w:b/>
              </w:rPr>
            </w:pPr>
            <w:r w:rsidRPr="00AB7C44">
              <w:rPr>
                <w:rFonts w:asciiTheme="minorHAnsi" w:hAnsiTheme="minorHAnsi" w:cs="Calibri"/>
                <w:b/>
              </w:rPr>
              <w:t>Seminar</w:t>
            </w:r>
          </w:p>
          <w:p w:rsidR="00406A37" w:rsidRPr="00AB7C44" w:rsidRDefault="00406A37" w:rsidP="00406A37">
            <w:pPr>
              <w:jc w:val="center"/>
              <w:rPr>
                <w:rFonts w:asciiTheme="minorHAnsi" w:hAnsiTheme="minorHAnsi" w:cs="Calibri"/>
                <w:b/>
              </w:rPr>
            </w:pPr>
            <w:r w:rsidRPr="00AB7C44">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406A37" w:rsidRPr="00AB7C44" w:rsidRDefault="00406A37" w:rsidP="00406A37">
            <w:pPr>
              <w:jc w:val="center"/>
              <w:rPr>
                <w:rFonts w:asciiTheme="minorHAnsi" w:hAnsiTheme="minorHAnsi" w:cs="Calibri"/>
                <w:b/>
              </w:rPr>
            </w:pPr>
            <w:r w:rsidRPr="00AB7C44">
              <w:rPr>
                <w:rFonts w:asciiTheme="minorHAnsi" w:hAnsiTheme="minorHAnsi" w:cs="Calibri"/>
                <w:b/>
              </w:rPr>
              <w:t>Vaje</w:t>
            </w:r>
          </w:p>
          <w:p w:rsidR="00406A37" w:rsidRPr="00AB7C44" w:rsidRDefault="00406A37" w:rsidP="00406A37">
            <w:pPr>
              <w:jc w:val="center"/>
              <w:rPr>
                <w:rFonts w:asciiTheme="minorHAnsi" w:hAnsiTheme="minorHAnsi" w:cs="Calibri"/>
                <w:b/>
              </w:rPr>
            </w:pPr>
            <w:r w:rsidRPr="00AB7C44">
              <w:rPr>
                <w:rFonts w:asciiTheme="minorHAnsi" w:hAnsiTheme="minorHAnsi" w:cs="Calibri"/>
                <w:b/>
              </w:rPr>
              <w:t>Tutorial</w:t>
            </w:r>
          </w:p>
        </w:tc>
        <w:tc>
          <w:tcPr>
            <w:tcW w:w="1418" w:type="dxa"/>
            <w:gridSpan w:val="4"/>
            <w:tcBorders>
              <w:top w:val="nil"/>
              <w:left w:val="nil"/>
              <w:bottom w:val="single" w:sz="4" w:space="0" w:color="auto"/>
              <w:right w:val="nil"/>
            </w:tcBorders>
            <w:vAlign w:val="center"/>
            <w:hideMark/>
          </w:tcPr>
          <w:p w:rsidR="00406A37" w:rsidRPr="00AB7C44" w:rsidRDefault="00406A37" w:rsidP="00406A37">
            <w:pPr>
              <w:jc w:val="center"/>
              <w:rPr>
                <w:rFonts w:asciiTheme="minorHAnsi" w:hAnsiTheme="minorHAnsi" w:cs="Calibri"/>
                <w:b/>
              </w:rPr>
            </w:pPr>
            <w:r w:rsidRPr="00AB7C44">
              <w:rPr>
                <w:rFonts w:asciiTheme="minorHAnsi" w:hAnsiTheme="minorHAnsi" w:cs="Calibri"/>
                <w:b/>
              </w:rPr>
              <w:t>Klinične vaje</w:t>
            </w:r>
          </w:p>
          <w:p w:rsidR="00406A37" w:rsidRPr="00AB7C44" w:rsidRDefault="00406A37" w:rsidP="00406A37">
            <w:pPr>
              <w:jc w:val="center"/>
              <w:rPr>
                <w:rFonts w:asciiTheme="minorHAnsi" w:hAnsiTheme="minorHAnsi" w:cs="Calibri"/>
                <w:b/>
              </w:rPr>
            </w:pPr>
            <w:r w:rsidRPr="00AB7C44">
              <w:rPr>
                <w:rFonts w:asciiTheme="minorHAnsi" w:hAnsiTheme="minorHAnsi" w:cs="Calibri"/>
                <w:b/>
              </w:rPr>
              <w:t>work</w:t>
            </w:r>
          </w:p>
        </w:tc>
        <w:tc>
          <w:tcPr>
            <w:tcW w:w="1417" w:type="dxa"/>
            <w:gridSpan w:val="3"/>
            <w:tcBorders>
              <w:top w:val="nil"/>
              <w:left w:val="nil"/>
              <w:bottom w:val="single" w:sz="4" w:space="0" w:color="auto"/>
              <w:right w:val="nil"/>
            </w:tcBorders>
            <w:vAlign w:val="center"/>
            <w:hideMark/>
          </w:tcPr>
          <w:p w:rsidR="00406A37" w:rsidRPr="00AB7C44" w:rsidRDefault="00406A37" w:rsidP="00406A37">
            <w:pPr>
              <w:jc w:val="center"/>
              <w:rPr>
                <w:rFonts w:asciiTheme="minorHAnsi" w:hAnsiTheme="minorHAnsi" w:cs="Calibri"/>
                <w:b/>
              </w:rPr>
            </w:pPr>
            <w:r w:rsidRPr="00AB7C44">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406A37" w:rsidRPr="00AB7C44" w:rsidRDefault="00406A37" w:rsidP="00406A37">
            <w:pPr>
              <w:jc w:val="center"/>
              <w:rPr>
                <w:rFonts w:asciiTheme="minorHAnsi" w:hAnsiTheme="minorHAnsi" w:cs="Calibri"/>
                <w:b/>
              </w:rPr>
            </w:pPr>
            <w:r w:rsidRPr="00AB7C44">
              <w:rPr>
                <w:rFonts w:asciiTheme="minorHAnsi" w:hAnsiTheme="minorHAnsi" w:cs="Calibri"/>
                <w:b/>
              </w:rPr>
              <w:t>Samost. delo</w:t>
            </w:r>
          </w:p>
          <w:p w:rsidR="00406A37" w:rsidRPr="00AB7C44" w:rsidRDefault="00406A37" w:rsidP="00406A37">
            <w:pPr>
              <w:jc w:val="center"/>
              <w:rPr>
                <w:rFonts w:asciiTheme="minorHAnsi" w:hAnsiTheme="minorHAnsi" w:cs="Calibri"/>
                <w:b/>
              </w:rPr>
            </w:pPr>
            <w:r w:rsidRPr="00AB7C44">
              <w:rPr>
                <w:rFonts w:asciiTheme="minorHAnsi" w:hAnsiTheme="minorHAnsi" w:cs="Calibri"/>
                <w:b/>
              </w:rPr>
              <w:t>Individ. work</w:t>
            </w:r>
          </w:p>
        </w:tc>
        <w:tc>
          <w:tcPr>
            <w:tcW w:w="132" w:type="dxa"/>
            <w:vAlign w:val="center"/>
          </w:tcPr>
          <w:p w:rsidR="00406A37" w:rsidRPr="00AB7C44" w:rsidRDefault="00406A37" w:rsidP="00406A37">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406A37" w:rsidRPr="00AB7C44" w:rsidRDefault="00406A37" w:rsidP="00406A37">
            <w:pPr>
              <w:jc w:val="center"/>
              <w:rPr>
                <w:rFonts w:asciiTheme="minorHAnsi" w:hAnsiTheme="minorHAnsi" w:cs="Calibri"/>
                <w:b/>
              </w:rPr>
            </w:pPr>
            <w:r w:rsidRPr="00AB7C44">
              <w:rPr>
                <w:rFonts w:asciiTheme="minorHAnsi" w:hAnsiTheme="minorHAnsi" w:cs="Calibri"/>
                <w:b/>
              </w:rPr>
              <w:t>ECTS</w:t>
            </w:r>
          </w:p>
        </w:tc>
      </w:tr>
      <w:tr w:rsidR="00406A37" w:rsidRPr="00AB7C44"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406A37" w:rsidRPr="00D51111" w:rsidRDefault="00406A37" w:rsidP="00406A37">
            <w:pPr>
              <w:jc w:val="center"/>
              <w:rPr>
                <w:rFonts w:asciiTheme="minorHAnsi" w:hAnsiTheme="minorHAnsi" w:cs="Calibri"/>
                <w:bCs/>
              </w:rPr>
            </w:pPr>
            <w:r w:rsidRPr="00D51111">
              <w:rPr>
                <w:rFonts w:asciiTheme="minorHAnsi" w:hAnsiTheme="minorHAnsi" w:cs="Calibri"/>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406A37" w:rsidRPr="00D51111" w:rsidRDefault="00406A37" w:rsidP="00406A37">
            <w:pPr>
              <w:jc w:val="center"/>
              <w:rPr>
                <w:rFonts w:asciiTheme="minorHAnsi" w:hAnsiTheme="minorHAnsi"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406A37" w:rsidRPr="00D51111" w:rsidRDefault="00406A37" w:rsidP="00406A37">
            <w:pPr>
              <w:jc w:val="center"/>
              <w:rPr>
                <w:rFonts w:asciiTheme="minorHAnsi" w:hAnsiTheme="minorHAnsi" w:cs="Calibri"/>
                <w:bCs/>
              </w:rPr>
            </w:pPr>
            <w:r w:rsidRPr="00D51111">
              <w:rPr>
                <w:rFonts w:asciiTheme="minorHAnsi" w:hAnsiTheme="minorHAnsi" w:cs="Calibri"/>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406A37" w:rsidRPr="00D51111" w:rsidRDefault="00406A37" w:rsidP="00406A37">
            <w:pPr>
              <w:jc w:val="center"/>
              <w:rPr>
                <w:rFonts w:asciiTheme="minorHAnsi" w:hAnsiTheme="minorHAnsi"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406A37" w:rsidRPr="00D51111" w:rsidRDefault="00406A37" w:rsidP="00406A37">
            <w:pPr>
              <w:jc w:val="center"/>
              <w:rPr>
                <w:rFonts w:asciiTheme="minorHAnsi" w:hAnsiTheme="minorHAnsi"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406A37" w:rsidRPr="00D51111" w:rsidRDefault="00406A37" w:rsidP="00406A37">
            <w:pPr>
              <w:jc w:val="center"/>
              <w:rPr>
                <w:rFonts w:asciiTheme="minorHAnsi" w:hAnsiTheme="minorHAnsi" w:cs="Calibri"/>
                <w:bCs/>
              </w:rPr>
            </w:pPr>
            <w:r w:rsidRPr="00D51111">
              <w:rPr>
                <w:rFonts w:asciiTheme="minorHAnsi" w:hAnsiTheme="minorHAnsi" w:cs="Calibri"/>
                <w:bCs/>
              </w:rPr>
              <w:t>75</w:t>
            </w:r>
          </w:p>
        </w:tc>
        <w:tc>
          <w:tcPr>
            <w:tcW w:w="132" w:type="dxa"/>
            <w:tcBorders>
              <w:top w:val="nil"/>
              <w:left w:val="single" w:sz="4" w:space="0" w:color="auto"/>
              <w:bottom w:val="nil"/>
              <w:right w:val="single" w:sz="4" w:space="0" w:color="auto"/>
            </w:tcBorders>
            <w:vAlign w:val="center"/>
          </w:tcPr>
          <w:p w:rsidR="00406A37" w:rsidRPr="00D51111" w:rsidRDefault="00406A37" w:rsidP="00406A37">
            <w:pPr>
              <w:jc w:val="center"/>
              <w:rPr>
                <w:rFonts w:asciiTheme="minorHAnsi" w:hAnsiTheme="minorHAnsi"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406A37" w:rsidRPr="00D51111" w:rsidRDefault="00406A37" w:rsidP="00406A37">
            <w:pPr>
              <w:jc w:val="center"/>
              <w:rPr>
                <w:rFonts w:asciiTheme="minorHAnsi" w:hAnsiTheme="minorHAnsi" w:cs="Calibri"/>
                <w:bCs/>
              </w:rPr>
            </w:pPr>
            <w:r w:rsidRPr="00D51111">
              <w:rPr>
                <w:rFonts w:asciiTheme="minorHAnsi" w:hAnsiTheme="minorHAnsi" w:cs="Calibri"/>
                <w:bCs/>
              </w:rPr>
              <w:t>6</w:t>
            </w:r>
          </w:p>
        </w:tc>
      </w:tr>
      <w:tr w:rsidR="00406A37" w:rsidRPr="00AB7C44" w:rsidTr="00384EDA">
        <w:tc>
          <w:tcPr>
            <w:tcW w:w="9690" w:type="dxa"/>
            <w:gridSpan w:val="18"/>
          </w:tcPr>
          <w:p w:rsidR="00406A37" w:rsidRPr="00AB7C44" w:rsidRDefault="00406A37" w:rsidP="00406A37">
            <w:pPr>
              <w:rPr>
                <w:rFonts w:asciiTheme="minorHAnsi" w:hAnsiTheme="minorHAnsi" w:cs="Calibri"/>
                <w:b/>
                <w:bCs/>
              </w:rPr>
            </w:pPr>
          </w:p>
        </w:tc>
      </w:tr>
      <w:tr w:rsidR="00406A37" w:rsidRPr="00AB7C44" w:rsidTr="00384EDA">
        <w:tc>
          <w:tcPr>
            <w:tcW w:w="3307" w:type="dxa"/>
            <w:gridSpan w:val="5"/>
            <w:hideMark/>
          </w:tcPr>
          <w:p w:rsidR="00406A37" w:rsidRPr="00AB7C44" w:rsidRDefault="00406A37" w:rsidP="00406A37">
            <w:pPr>
              <w:rPr>
                <w:rFonts w:asciiTheme="minorHAnsi" w:hAnsiTheme="minorHAnsi" w:cs="Calibri"/>
                <w:b/>
              </w:rPr>
            </w:pPr>
            <w:r w:rsidRPr="00AB7C44">
              <w:rPr>
                <w:rFonts w:asciiTheme="minorHAnsi" w:hAnsiTheme="minorHAnsi" w:cs="Calibri"/>
                <w:b/>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406A37" w:rsidRPr="00AB7C44" w:rsidRDefault="00DA5551" w:rsidP="00406A37">
            <w:pPr>
              <w:rPr>
                <w:rFonts w:asciiTheme="minorHAnsi" w:hAnsiTheme="minorHAnsi" w:cs="Calibri"/>
              </w:rPr>
            </w:pPr>
            <w:bookmarkStart w:id="2" w:name="Predavatelj"/>
            <w:bookmarkEnd w:id="2"/>
            <w:r w:rsidRPr="00AB7C44">
              <w:rPr>
                <w:rFonts w:asciiTheme="minorHAnsi" w:hAnsiTheme="minorHAnsi" w:cs="Calibri"/>
              </w:rPr>
              <w:t>Janko Drnovšek, Gaber Begeš</w:t>
            </w:r>
          </w:p>
        </w:tc>
      </w:tr>
      <w:tr w:rsidR="00406A37" w:rsidRPr="00AB7C44" w:rsidTr="00384EDA">
        <w:tc>
          <w:tcPr>
            <w:tcW w:w="9690" w:type="dxa"/>
            <w:gridSpan w:val="18"/>
          </w:tcPr>
          <w:p w:rsidR="00406A37" w:rsidRPr="00AB7C44" w:rsidRDefault="00406A37" w:rsidP="00406A37">
            <w:pPr>
              <w:jc w:val="both"/>
              <w:rPr>
                <w:rFonts w:asciiTheme="minorHAnsi" w:hAnsiTheme="minorHAnsi" w:cs="Calibri"/>
              </w:rPr>
            </w:pPr>
          </w:p>
        </w:tc>
      </w:tr>
      <w:tr w:rsidR="00406A37" w:rsidRPr="00AB7C44" w:rsidTr="00384EDA">
        <w:tc>
          <w:tcPr>
            <w:tcW w:w="1641" w:type="dxa"/>
            <w:gridSpan w:val="2"/>
            <w:vMerge w:val="restart"/>
            <w:hideMark/>
          </w:tcPr>
          <w:p w:rsidR="00406A37" w:rsidRPr="00AB7C44" w:rsidRDefault="00406A37" w:rsidP="00406A37">
            <w:pPr>
              <w:rPr>
                <w:rFonts w:asciiTheme="minorHAnsi" w:hAnsiTheme="minorHAnsi" w:cs="Calibri"/>
                <w:b/>
              </w:rPr>
            </w:pPr>
            <w:r w:rsidRPr="00AB7C44">
              <w:rPr>
                <w:rFonts w:asciiTheme="minorHAnsi" w:hAnsiTheme="minorHAnsi" w:cs="Calibri"/>
                <w:b/>
              </w:rPr>
              <w:t xml:space="preserve">Jeziki / </w:t>
            </w:r>
          </w:p>
          <w:p w:rsidR="00406A37" w:rsidRPr="00AB7C44" w:rsidRDefault="00406A37" w:rsidP="00406A37">
            <w:pPr>
              <w:rPr>
                <w:rFonts w:asciiTheme="minorHAnsi" w:hAnsiTheme="minorHAnsi" w:cs="Calibri"/>
              </w:rPr>
            </w:pPr>
            <w:r w:rsidRPr="00AB7C44">
              <w:rPr>
                <w:rFonts w:asciiTheme="minorHAnsi" w:hAnsiTheme="minorHAnsi" w:cs="Calibri"/>
                <w:b/>
              </w:rPr>
              <w:t>Languages:</w:t>
            </w:r>
          </w:p>
        </w:tc>
        <w:tc>
          <w:tcPr>
            <w:tcW w:w="2241" w:type="dxa"/>
            <w:gridSpan w:val="4"/>
            <w:hideMark/>
          </w:tcPr>
          <w:p w:rsidR="00406A37" w:rsidRPr="00AB7C44" w:rsidRDefault="00406A37" w:rsidP="00406A37">
            <w:pPr>
              <w:jc w:val="right"/>
              <w:rPr>
                <w:rFonts w:asciiTheme="minorHAnsi" w:hAnsiTheme="minorHAnsi" w:cs="Calibri"/>
                <w:b/>
              </w:rPr>
            </w:pPr>
            <w:r w:rsidRPr="00AB7C44">
              <w:rPr>
                <w:rFonts w:asciiTheme="minorHAnsi" w:hAnsiTheme="minorHAnsi" w:cs="Calibri"/>
                <w:b/>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406A37" w:rsidRPr="00D51111" w:rsidRDefault="00D51111" w:rsidP="00406A37">
            <w:pPr>
              <w:jc w:val="both"/>
              <w:rPr>
                <w:rFonts w:asciiTheme="minorHAnsi" w:hAnsiTheme="minorHAnsi" w:cs="Calibri"/>
                <w:bCs/>
              </w:rPr>
            </w:pPr>
            <w:bookmarkStart w:id="3" w:name="Jezik"/>
            <w:bookmarkEnd w:id="3"/>
            <w:r>
              <w:rPr>
                <w:rFonts w:asciiTheme="minorHAnsi" w:hAnsiTheme="minorHAnsi" w:cs="Calibri"/>
                <w:bCs/>
              </w:rPr>
              <w:t>slovenski</w:t>
            </w:r>
            <w:bookmarkStart w:id="4" w:name="_GoBack"/>
            <w:bookmarkEnd w:id="4"/>
            <w:r w:rsidR="0095001C" w:rsidRPr="00D51111">
              <w:rPr>
                <w:rFonts w:asciiTheme="minorHAnsi" w:hAnsiTheme="minorHAnsi" w:cs="Calibri"/>
                <w:bCs/>
              </w:rPr>
              <w:t xml:space="preserve"> / </w:t>
            </w:r>
            <w:r w:rsidRPr="00D51111">
              <w:rPr>
                <w:rFonts w:asciiTheme="minorHAnsi" w:hAnsiTheme="minorHAnsi" w:cs="Calibri"/>
                <w:bCs/>
                <w:lang w:val="en-GB"/>
              </w:rPr>
              <w:t>Slovenian</w:t>
            </w:r>
          </w:p>
          <w:p w:rsidR="0095001C" w:rsidRPr="00D51111" w:rsidRDefault="00D51111" w:rsidP="00406A37">
            <w:pPr>
              <w:jc w:val="both"/>
              <w:rPr>
                <w:rFonts w:asciiTheme="minorHAnsi" w:hAnsiTheme="minorHAnsi" w:cs="Calibri"/>
                <w:bCs/>
              </w:rPr>
            </w:pPr>
            <w:r>
              <w:rPr>
                <w:rFonts w:asciiTheme="minorHAnsi" w:hAnsiTheme="minorHAnsi" w:cs="Calibri"/>
                <w:bCs/>
              </w:rPr>
              <w:t xml:space="preserve">angleški / </w:t>
            </w:r>
            <w:r w:rsidRPr="00D51111">
              <w:rPr>
                <w:rFonts w:asciiTheme="minorHAnsi" w:hAnsiTheme="minorHAnsi" w:cs="Calibri"/>
                <w:bCs/>
                <w:lang w:val="en-US"/>
              </w:rPr>
              <w:t>E</w:t>
            </w:r>
            <w:r w:rsidR="0095001C" w:rsidRPr="00D51111">
              <w:rPr>
                <w:rFonts w:asciiTheme="minorHAnsi" w:hAnsiTheme="minorHAnsi" w:cs="Calibri"/>
                <w:bCs/>
                <w:lang w:val="en-US"/>
              </w:rPr>
              <w:t>nglish</w:t>
            </w:r>
          </w:p>
        </w:tc>
      </w:tr>
      <w:tr w:rsidR="00406A37" w:rsidRPr="00AB7C44" w:rsidTr="00384EDA">
        <w:trPr>
          <w:trHeight w:val="215"/>
        </w:trPr>
        <w:tc>
          <w:tcPr>
            <w:tcW w:w="1641" w:type="dxa"/>
            <w:gridSpan w:val="2"/>
            <w:vMerge/>
            <w:vAlign w:val="center"/>
            <w:hideMark/>
          </w:tcPr>
          <w:p w:rsidR="00406A37" w:rsidRPr="00AB7C44" w:rsidRDefault="00406A37" w:rsidP="00406A37">
            <w:pPr>
              <w:rPr>
                <w:rFonts w:asciiTheme="minorHAnsi" w:hAnsiTheme="minorHAnsi" w:cs="Calibri"/>
              </w:rPr>
            </w:pPr>
          </w:p>
        </w:tc>
        <w:tc>
          <w:tcPr>
            <w:tcW w:w="2241" w:type="dxa"/>
            <w:gridSpan w:val="4"/>
            <w:hideMark/>
          </w:tcPr>
          <w:p w:rsidR="00406A37" w:rsidRPr="00AB7C44" w:rsidRDefault="00406A37" w:rsidP="00406A37">
            <w:pPr>
              <w:jc w:val="right"/>
              <w:rPr>
                <w:rFonts w:asciiTheme="minorHAnsi" w:hAnsiTheme="minorHAnsi" w:cs="Calibri"/>
                <w:b/>
              </w:rPr>
            </w:pPr>
            <w:r w:rsidRPr="00AB7C44">
              <w:rPr>
                <w:rFonts w:asciiTheme="minorHAnsi" w:hAnsiTheme="minorHAnsi" w:cs="Calibri"/>
                <w:b/>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D51111" w:rsidRPr="00D51111" w:rsidRDefault="00D51111" w:rsidP="00D51111">
            <w:pPr>
              <w:jc w:val="both"/>
              <w:rPr>
                <w:rFonts w:asciiTheme="minorHAnsi" w:hAnsiTheme="minorHAnsi" w:cs="Calibri"/>
                <w:bCs/>
              </w:rPr>
            </w:pPr>
            <w:bookmarkStart w:id="5" w:name="JezikV"/>
            <w:bookmarkEnd w:id="5"/>
            <w:r w:rsidRPr="00D51111">
              <w:rPr>
                <w:rFonts w:asciiTheme="minorHAnsi" w:hAnsiTheme="minorHAnsi" w:cs="Calibri"/>
                <w:bCs/>
              </w:rPr>
              <w:t xml:space="preserve">slovensko / </w:t>
            </w:r>
            <w:r w:rsidRPr="00D51111">
              <w:rPr>
                <w:rFonts w:asciiTheme="minorHAnsi" w:hAnsiTheme="minorHAnsi" w:cs="Calibri"/>
                <w:bCs/>
                <w:lang w:val="en-GB"/>
              </w:rPr>
              <w:t>Slovenian</w:t>
            </w:r>
          </w:p>
          <w:p w:rsidR="00406A37" w:rsidRPr="00D51111" w:rsidRDefault="00D51111" w:rsidP="00D51111">
            <w:pPr>
              <w:rPr>
                <w:rFonts w:asciiTheme="minorHAnsi" w:hAnsiTheme="minorHAnsi" w:cs="Calibri"/>
                <w:bCs/>
              </w:rPr>
            </w:pPr>
            <w:r>
              <w:rPr>
                <w:rFonts w:asciiTheme="minorHAnsi" w:hAnsiTheme="minorHAnsi" w:cs="Calibri"/>
                <w:bCs/>
              </w:rPr>
              <w:t xml:space="preserve">angleški / </w:t>
            </w:r>
            <w:r w:rsidRPr="00D51111">
              <w:rPr>
                <w:rFonts w:asciiTheme="minorHAnsi" w:hAnsiTheme="minorHAnsi" w:cs="Calibri"/>
                <w:bCs/>
                <w:lang w:val="en-US"/>
              </w:rPr>
              <w:t>English</w:t>
            </w:r>
          </w:p>
        </w:tc>
      </w:tr>
      <w:tr w:rsidR="00406A37" w:rsidRPr="00AB7C44" w:rsidTr="00384EDA">
        <w:tc>
          <w:tcPr>
            <w:tcW w:w="4728" w:type="dxa"/>
            <w:gridSpan w:val="9"/>
            <w:tcBorders>
              <w:top w:val="nil"/>
              <w:left w:val="nil"/>
              <w:bottom w:val="single" w:sz="4" w:space="0" w:color="auto"/>
              <w:right w:val="nil"/>
            </w:tcBorders>
          </w:tcPr>
          <w:p w:rsidR="00406A37" w:rsidRPr="00AB7C44" w:rsidRDefault="00406A37" w:rsidP="00406A37">
            <w:pPr>
              <w:rPr>
                <w:rFonts w:asciiTheme="minorHAnsi" w:hAnsiTheme="minorHAnsi" w:cs="Calibri"/>
                <w:b/>
                <w:bCs/>
              </w:rPr>
            </w:pPr>
          </w:p>
          <w:p w:rsidR="00406A37" w:rsidRPr="00AB7C44" w:rsidRDefault="00406A37" w:rsidP="00406A37">
            <w:pPr>
              <w:rPr>
                <w:rFonts w:asciiTheme="minorHAnsi" w:hAnsiTheme="minorHAnsi" w:cs="Calibri"/>
                <w:b/>
              </w:rPr>
            </w:pPr>
            <w:r w:rsidRPr="00AB7C44">
              <w:rPr>
                <w:rFonts w:asciiTheme="minorHAnsi" w:hAnsiTheme="minorHAnsi" w:cs="Calibri"/>
                <w:b/>
              </w:rPr>
              <w:t>Pogoji za vključitev v delo oz. za opravljanje študijskih obveznosti:</w:t>
            </w:r>
          </w:p>
        </w:tc>
        <w:tc>
          <w:tcPr>
            <w:tcW w:w="142" w:type="dxa"/>
          </w:tcPr>
          <w:p w:rsidR="00406A37" w:rsidRPr="00AB7C44" w:rsidRDefault="00406A37" w:rsidP="00406A37">
            <w:pPr>
              <w:rPr>
                <w:rFonts w:asciiTheme="minorHAnsi" w:hAnsiTheme="minorHAnsi" w:cs="Calibri"/>
                <w:b/>
              </w:rPr>
            </w:pPr>
          </w:p>
          <w:p w:rsidR="00406A37" w:rsidRPr="00AB7C44" w:rsidRDefault="00406A37" w:rsidP="00406A37">
            <w:pPr>
              <w:rPr>
                <w:rFonts w:asciiTheme="minorHAnsi" w:hAnsiTheme="minorHAnsi" w:cs="Calibri"/>
                <w:b/>
              </w:rPr>
            </w:pPr>
          </w:p>
        </w:tc>
        <w:tc>
          <w:tcPr>
            <w:tcW w:w="4820" w:type="dxa"/>
            <w:gridSpan w:val="8"/>
            <w:tcBorders>
              <w:top w:val="nil"/>
              <w:left w:val="nil"/>
              <w:bottom w:val="single" w:sz="4" w:space="0" w:color="auto"/>
              <w:right w:val="nil"/>
            </w:tcBorders>
          </w:tcPr>
          <w:p w:rsidR="00406A37" w:rsidRPr="00AB7C44" w:rsidRDefault="00406A37" w:rsidP="00406A37">
            <w:pPr>
              <w:rPr>
                <w:rFonts w:asciiTheme="minorHAnsi" w:hAnsiTheme="minorHAnsi" w:cs="Calibri"/>
                <w:b/>
              </w:rPr>
            </w:pPr>
          </w:p>
          <w:p w:rsidR="00406A37" w:rsidRPr="00AB7C44" w:rsidRDefault="00406A37" w:rsidP="00406A37">
            <w:pPr>
              <w:rPr>
                <w:rFonts w:asciiTheme="minorHAnsi" w:hAnsiTheme="minorHAnsi" w:cs="Calibri"/>
                <w:b/>
              </w:rPr>
            </w:pPr>
            <w:r w:rsidRPr="00AB7C44">
              <w:rPr>
                <w:rFonts w:asciiTheme="minorHAnsi" w:hAnsiTheme="minorHAnsi" w:cs="Calibri"/>
                <w:b/>
              </w:rPr>
              <w:t>Prerequisits:</w:t>
            </w:r>
          </w:p>
        </w:tc>
      </w:tr>
      <w:tr w:rsidR="00406A37" w:rsidRPr="00AB7C44"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406A37" w:rsidRPr="00AB7C44" w:rsidRDefault="005F2863" w:rsidP="00406A37">
            <w:pPr>
              <w:rPr>
                <w:rFonts w:asciiTheme="minorHAnsi" w:hAnsiTheme="minorHAnsi" w:cs="Calibri"/>
              </w:rPr>
            </w:pPr>
            <w:r>
              <w:rPr>
                <w:rFonts w:asciiTheme="minorHAnsi" w:hAnsiTheme="minorHAnsi" w:cs="Calibri"/>
              </w:rPr>
              <w:t>V</w:t>
            </w:r>
            <w:r w:rsidR="00AB7C44" w:rsidRPr="00AB7C44">
              <w:rPr>
                <w:rFonts w:asciiTheme="minorHAnsi" w:hAnsiTheme="minorHAnsi" w:cs="Calibri"/>
              </w:rPr>
              <w:t>pis v letnik predmeta</w:t>
            </w:r>
          </w:p>
        </w:tc>
        <w:tc>
          <w:tcPr>
            <w:tcW w:w="142" w:type="dxa"/>
            <w:tcBorders>
              <w:top w:val="nil"/>
              <w:left w:val="single" w:sz="4" w:space="0" w:color="auto"/>
              <w:bottom w:val="nil"/>
              <w:right w:val="single" w:sz="4" w:space="0" w:color="auto"/>
            </w:tcBorders>
          </w:tcPr>
          <w:p w:rsidR="00406A37" w:rsidRPr="00AB7C44" w:rsidRDefault="00406A37" w:rsidP="00406A37">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406A37" w:rsidRPr="005F2863" w:rsidRDefault="005F2863" w:rsidP="00406A37">
            <w:pPr>
              <w:rPr>
                <w:rFonts w:asciiTheme="minorHAnsi" w:hAnsiTheme="minorHAnsi"/>
                <w:lang w:val="en-US"/>
              </w:rPr>
            </w:pPr>
            <w:r w:rsidRPr="005F2863">
              <w:rPr>
                <w:rFonts w:asciiTheme="minorHAnsi" w:hAnsiTheme="minorHAnsi"/>
                <w:lang w:val="en-US"/>
              </w:rPr>
              <w:t>Enrolment in the year of the course</w:t>
            </w:r>
          </w:p>
        </w:tc>
      </w:tr>
      <w:tr w:rsidR="00406A37" w:rsidRPr="00AB7C44" w:rsidTr="00384EDA">
        <w:trPr>
          <w:trHeight w:val="137"/>
        </w:trPr>
        <w:tc>
          <w:tcPr>
            <w:tcW w:w="4718" w:type="dxa"/>
            <w:gridSpan w:val="8"/>
            <w:tcBorders>
              <w:top w:val="nil"/>
              <w:left w:val="nil"/>
              <w:bottom w:val="single" w:sz="4" w:space="0" w:color="auto"/>
              <w:right w:val="nil"/>
            </w:tcBorders>
          </w:tcPr>
          <w:p w:rsidR="00406A37" w:rsidRPr="00AB7C44" w:rsidRDefault="00406A37" w:rsidP="00406A37">
            <w:pPr>
              <w:rPr>
                <w:rFonts w:asciiTheme="minorHAnsi" w:hAnsiTheme="minorHAnsi" w:cs="Calibri"/>
                <w:b/>
              </w:rPr>
            </w:pPr>
          </w:p>
          <w:p w:rsidR="00406A37" w:rsidRPr="00AB7C44" w:rsidRDefault="00406A37" w:rsidP="00406A37">
            <w:pPr>
              <w:rPr>
                <w:rFonts w:asciiTheme="minorHAnsi" w:hAnsiTheme="minorHAnsi" w:cs="Calibri"/>
                <w:b/>
              </w:rPr>
            </w:pPr>
            <w:r w:rsidRPr="00AB7C44">
              <w:rPr>
                <w:rFonts w:asciiTheme="minorHAnsi" w:hAnsiTheme="minorHAnsi" w:cs="Calibri"/>
                <w:b/>
              </w:rPr>
              <w:t>Vsebina:</w:t>
            </w:r>
            <w:r w:rsidRPr="00AB7C44">
              <w:rPr>
                <w:rFonts w:asciiTheme="minorHAnsi" w:hAnsiTheme="minorHAnsi" w:cs="Calibri"/>
              </w:rPr>
              <w:t xml:space="preserve"> </w:t>
            </w:r>
          </w:p>
        </w:tc>
        <w:tc>
          <w:tcPr>
            <w:tcW w:w="152" w:type="dxa"/>
            <w:gridSpan w:val="2"/>
          </w:tcPr>
          <w:p w:rsidR="00406A37" w:rsidRPr="00AB7C44" w:rsidRDefault="00406A37" w:rsidP="00406A37">
            <w:pPr>
              <w:rPr>
                <w:rFonts w:asciiTheme="minorHAnsi" w:hAnsiTheme="minorHAnsi" w:cs="Calibri"/>
                <w:b/>
              </w:rPr>
            </w:pPr>
          </w:p>
        </w:tc>
        <w:tc>
          <w:tcPr>
            <w:tcW w:w="4820" w:type="dxa"/>
            <w:gridSpan w:val="8"/>
            <w:tcBorders>
              <w:top w:val="nil"/>
              <w:left w:val="nil"/>
              <w:bottom w:val="single" w:sz="4" w:space="0" w:color="auto"/>
              <w:right w:val="nil"/>
            </w:tcBorders>
          </w:tcPr>
          <w:p w:rsidR="00406A37" w:rsidRPr="00AB7C44" w:rsidRDefault="00406A37" w:rsidP="00406A37">
            <w:pPr>
              <w:rPr>
                <w:rFonts w:asciiTheme="minorHAnsi" w:hAnsiTheme="minorHAnsi" w:cs="Calibri"/>
                <w:b/>
                <w:lang w:val="en-GB"/>
              </w:rPr>
            </w:pPr>
          </w:p>
          <w:p w:rsidR="00406A37" w:rsidRPr="00AB7C44" w:rsidRDefault="00406A37" w:rsidP="00406A37">
            <w:pPr>
              <w:rPr>
                <w:rFonts w:asciiTheme="minorHAnsi" w:hAnsiTheme="minorHAnsi" w:cs="Calibri"/>
                <w:b/>
                <w:lang w:val="en-GB"/>
              </w:rPr>
            </w:pPr>
            <w:r w:rsidRPr="00AB7C44">
              <w:rPr>
                <w:rFonts w:asciiTheme="minorHAnsi" w:hAnsiTheme="minorHAnsi" w:cs="Calibri"/>
                <w:b/>
                <w:lang w:val="en-GB"/>
              </w:rPr>
              <w:t>Content (Syllabus outline):</w:t>
            </w:r>
          </w:p>
        </w:tc>
      </w:tr>
      <w:tr w:rsidR="00406A37" w:rsidRPr="00AB7C44"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DA5551" w:rsidRPr="00AB7C44" w:rsidRDefault="00DA5551" w:rsidP="00DA5551">
            <w:pPr>
              <w:rPr>
                <w:rFonts w:asciiTheme="minorHAnsi" w:hAnsiTheme="minorHAnsi" w:cs="Calibri"/>
              </w:rPr>
            </w:pPr>
            <w:r w:rsidRPr="00AB7C44">
              <w:rPr>
                <w:rFonts w:asciiTheme="minorHAnsi" w:hAnsiTheme="minorHAnsi" w:cs="Calibri"/>
              </w:rPr>
              <w:t>(a) Uvod (osnove evropske tehniške infrastrukture)</w:t>
            </w:r>
          </w:p>
          <w:p w:rsidR="00DA5551" w:rsidRPr="00AB7C44" w:rsidRDefault="00DA5551" w:rsidP="00DA5551">
            <w:pPr>
              <w:rPr>
                <w:rFonts w:asciiTheme="minorHAnsi" w:hAnsiTheme="minorHAnsi" w:cs="Calibri"/>
              </w:rPr>
            </w:pPr>
            <w:r w:rsidRPr="00AB7C44">
              <w:rPr>
                <w:rFonts w:asciiTheme="minorHAnsi" w:hAnsiTheme="minorHAnsi" w:cs="Calibri"/>
              </w:rPr>
              <w:t>(b) Osnovne definicije (kakovosti, standardizacije, akreditacije, itd.)</w:t>
            </w:r>
          </w:p>
          <w:p w:rsidR="00DA5551" w:rsidRPr="00AB7C44" w:rsidRDefault="00DA5551" w:rsidP="00DA5551">
            <w:pPr>
              <w:rPr>
                <w:rFonts w:asciiTheme="minorHAnsi" w:hAnsiTheme="minorHAnsi" w:cs="Calibri"/>
              </w:rPr>
            </w:pPr>
            <w:r w:rsidRPr="00AB7C44">
              <w:rPr>
                <w:rFonts w:asciiTheme="minorHAnsi" w:hAnsiTheme="minorHAnsi" w:cs="Calibri"/>
              </w:rPr>
              <w:t>(c) Direktive in zakonodaja (transpozicija, implementacija, sistem zakonodaje)</w:t>
            </w:r>
          </w:p>
          <w:p w:rsidR="00DA5551" w:rsidRPr="00AB7C44" w:rsidRDefault="00DA5551" w:rsidP="00DA5551">
            <w:pPr>
              <w:rPr>
                <w:rFonts w:asciiTheme="minorHAnsi" w:hAnsiTheme="minorHAnsi" w:cs="Calibri"/>
              </w:rPr>
            </w:pPr>
            <w:r w:rsidRPr="00AB7C44">
              <w:rPr>
                <w:rFonts w:asciiTheme="minorHAnsi" w:hAnsiTheme="minorHAnsi" w:cs="Calibri"/>
              </w:rPr>
              <w:t>(d) Standardizacija (infrastruktura standardizacije, nastanek, vrste, obnavljanje, razumevanje standardov)</w:t>
            </w:r>
          </w:p>
          <w:p w:rsidR="00DA5551" w:rsidRPr="00AB7C44" w:rsidRDefault="00DA5551" w:rsidP="00DA5551">
            <w:pPr>
              <w:rPr>
                <w:rFonts w:asciiTheme="minorHAnsi" w:hAnsiTheme="minorHAnsi" w:cs="Calibri"/>
              </w:rPr>
            </w:pPr>
            <w:r w:rsidRPr="00AB7C44">
              <w:rPr>
                <w:rFonts w:asciiTheme="minorHAnsi" w:hAnsiTheme="minorHAnsi" w:cs="Calibri"/>
              </w:rPr>
              <w:t xml:space="preserve">(e) Akreditacija (kot infrastruktura, priprava na akreditacijo, presojanje, korektivni ukrepi) </w:t>
            </w:r>
          </w:p>
          <w:p w:rsidR="00DA5551" w:rsidRPr="00AB7C44" w:rsidRDefault="00DA5551" w:rsidP="00DA5551">
            <w:pPr>
              <w:rPr>
                <w:rFonts w:asciiTheme="minorHAnsi" w:hAnsiTheme="minorHAnsi" w:cs="Calibri"/>
              </w:rPr>
            </w:pPr>
            <w:r w:rsidRPr="00AB7C44">
              <w:rPr>
                <w:rFonts w:asciiTheme="minorHAnsi" w:hAnsiTheme="minorHAnsi" w:cs="Calibri"/>
              </w:rPr>
              <w:lastRenderedPageBreak/>
              <w:t>(f) Meroslovje (kot infrastruktura, umerjanje, preskušanje, zakonsko meroslovje)</w:t>
            </w:r>
          </w:p>
          <w:p w:rsidR="00DA5551" w:rsidRPr="00AB7C44" w:rsidRDefault="00DA5551" w:rsidP="00DA5551">
            <w:pPr>
              <w:rPr>
                <w:rFonts w:asciiTheme="minorHAnsi" w:hAnsiTheme="minorHAnsi" w:cs="Calibri"/>
              </w:rPr>
            </w:pPr>
            <w:r w:rsidRPr="00AB7C44">
              <w:rPr>
                <w:rFonts w:asciiTheme="minorHAnsi" w:hAnsiTheme="minorHAnsi" w:cs="Calibri"/>
              </w:rPr>
              <w:t>(g) Ugotavljanje skladnosti (filozofija novega in globalnega pristopa, označevanju evropske skladnosti (CE) proizvodov z zahtevami standardov ter priprava celotne tehniške dokumentacije)</w:t>
            </w:r>
          </w:p>
          <w:p w:rsidR="00DA5551" w:rsidRPr="00AB7C44" w:rsidRDefault="00DA5551" w:rsidP="00DA5551">
            <w:pPr>
              <w:rPr>
                <w:rFonts w:asciiTheme="minorHAnsi" w:hAnsiTheme="minorHAnsi" w:cs="Calibri"/>
              </w:rPr>
            </w:pPr>
            <w:r w:rsidRPr="00AB7C44">
              <w:rPr>
                <w:rFonts w:asciiTheme="minorHAnsi" w:hAnsiTheme="minorHAnsi" w:cs="Calibri"/>
              </w:rPr>
              <w:t>(h) Obravnava splošnih (infrastruktu</w:t>
            </w:r>
            <w:r w:rsidR="000C0447" w:rsidRPr="00AB7C44">
              <w:rPr>
                <w:rFonts w:asciiTheme="minorHAnsi" w:hAnsiTheme="minorHAnsi" w:cs="Calibri"/>
              </w:rPr>
              <w:t>r</w:t>
            </w:r>
            <w:r w:rsidRPr="00AB7C44">
              <w:rPr>
                <w:rFonts w:asciiTheme="minorHAnsi" w:hAnsiTheme="minorHAnsi" w:cs="Calibri"/>
              </w:rPr>
              <w:t>nih) skupin standardov (smernice za dokumentacijo sistema vodenja kakovosti, ugotavljanje skladnosti, itd.)</w:t>
            </w:r>
          </w:p>
          <w:p w:rsidR="00DA5551" w:rsidRPr="00AB7C44" w:rsidRDefault="00DA5551" w:rsidP="00DA5551">
            <w:pPr>
              <w:rPr>
                <w:rFonts w:asciiTheme="minorHAnsi" w:hAnsiTheme="minorHAnsi" w:cs="Calibri"/>
              </w:rPr>
            </w:pPr>
            <w:r w:rsidRPr="00AB7C44">
              <w:rPr>
                <w:rFonts w:asciiTheme="minorHAnsi" w:hAnsiTheme="minorHAnsi" w:cs="Calibri"/>
              </w:rPr>
              <w:t>(i) Presoja in certificiranje sistemov vodenja kakovosti</w:t>
            </w:r>
          </w:p>
          <w:p w:rsidR="00406A37" w:rsidRPr="00AB7C44" w:rsidRDefault="00DA5551" w:rsidP="00DA5551">
            <w:pPr>
              <w:rPr>
                <w:rFonts w:asciiTheme="minorHAnsi" w:hAnsiTheme="minorHAnsi" w:cs="Calibri"/>
              </w:rPr>
            </w:pPr>
            <w:r w:rsidRPr="00AB7C44">
              <w:rPr>
                <w:rFonts w:asciiTheme="minorHAnsi" w:hAnsiTheme="minorHAnsi" w:cs="Calibri"/>
              </w:rPr>
              <w:t>(j) Evropska tehniška zakonodaja  po področjih (proizvodnja, laboratoriji, storitve, okolje, varnost, zdravstvo, itd.) ter ključne EU tehniške direktive, varnost elektrotehniških proizvodov, nizko napetostna smernica LVD (low voltage directive), varnost medicinskih tehniških sistemov (osnove elektromagnetne kompatibilnosti - EMC v zdravstvu, načrtovanje naprav v skladu z EMC, EMC v bolnišnicah, elektromagnetne interferenca), itd.</w:t>
            </w:r>
          </w:p>
        </w:tc>
        <w:tc>
          <w:tcPr>
            <w:tcW w:w="152" w:type="dxa"/>
            <w:gridSpan w:val="2"/>
            <w:tcBorders>
              <w:top w:val="nil"/>
              <w:left w:val="single" w:sz="4" w:space="0" w:color="auto"/>
              <w:bottom w:val="nil"/>
              <w:right w:val="single" w:sz="4" w:space="0" w:color="auto"/>
            </w:tcBorders>
          </w:tcPr>
          <w:p w:rsidR="00406A37" w:rsidRPr="00AB7C44" w:rsidRDefault="00406A37" w:rsidP="00406A37">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95001C" w:rsidRPr="00AB7C44" w:rsidRDefault="0095001C" w:rsidP="0095001C">
            <w:pPr>
              <w:rPr>
                <w:rFonts w:asciiTheme="minorHAnsi" w:hAnsiTheme="minorHAnsi" w:cs="Calibri"/>
                <w:lang w:val="en-GB"/>
              </w:rPr>
            </w:pPr>
            <w:r w:rsidRPr="00AB7C44">
              <w:rPr>
                <w:rFonts w:asciiTheme="minorHAnsi" w:hAnsiTheme="minorHAnsi" w:cs="Calibri"/>
                <w:lang w:val="en-GB"/>
              </w:rPr>
              <w:t>(a) Introduction (basics of European technical infrastructure)</w:t>
            </w:r>
          </w:p>
          <w:p w:rsidR="0095001C" w:rsidRPr="00AB7C44" w:rsidRDefault="0095001C" w:rsidP="0095001C">
            <w:pPr>
              <w:rPr>
                <w:rFonts w:asciiTheme="minorHAnsi" w:hAnsiTheme="minorHAnsi" w:cs="Calibri"/>
                <w:lang w:val="en-GB"/>
              </w:rPr>
            </w:pPr>
            <w:r w:rsidRPr="00AB7C44">
              <w:rPr>
                <w:rFonts w:asciiTheme="minorHAnsi" w:hAnsiTheme="minorHAnsi" w:cs="Calibri"/>
                <w:lang w:val="en-GB"/>
              </w:rPr>
              <w:t>(b) Basic definitions (quality, standardization, accreditation, etc.)</w:t>
            </w:r>
          </w:p>
          <w:p w:rsidR="0095001C" w:rsidRPr="00AB7C44" w:rsidRDefault="0095001C" w:rsidP="0095001C">
            <w:pPr>
              <w:rPr>
                <w:rFonts w:asciiTheme="minorHAnsi" w:hAnsiTheme="minorHAnsi" w:cs="Calibri"/>
                <w:lang w:val="en-GB"/>
              </w:rPr>
            </w:pPr>
            <w:r w:rsidRPr="00AB7C44">
              <w:rPr>
                <w:rFonts w:asciiTheme="minorHAnsi" w:hAnsiTheme="minorHAnsi" w:cs="Calibri"/>
                <w:lang w:val="en-GB"/>
              </w:rPr>
              <w:t>(c) Directives and legislation (transposition, implementation, legislation system)</w:t>
            </w:r>
          </w:p>
          <w:p w:rsidR="0095001C" w:rsidRPr="00AB7C44" w:rsidRDefault="0095001C" w:rsidP="0095001C">
            <w:pPr>
              <w:rPr>
                <w:rFonts w:asciiTheme="minorHAnsi" w:hAnsiTheme="minorHAnsi" w:cs="Calibri"/>
                <w:lang w:val="en-GB"/>
              </w:rPr>
            </w:pPr>
            <w:r w:rsidRPr="00AB7C44">
              <w:rPr>
                <w:rFonts w:asciiTheme="minorHAnsi" w:hAnsiTheme="minorHAnsi" w:cs="Calibri"/>
                <w:lang w:val="en-GB"/>
              </w:rPr>
              <w:t>(d) Standardization (standardization infrastructure, how to develop a standard, types, renewal, standard understanding)</w:t>
            </w:r>
          </w:p>
          <w:p w:rsidR="0095001C" w:rsidRPr="00AB7C44" w:rsidRDefault="0095001C" w:rsidP="0095001C">
            <w:pPr>
              <w:rPr>
                <w:rFonts w:asciiTheme="minorHAnsi" w:hAnsiTheme="minorHAnsi" w:cs="Calibri"/>
                <w:lang w:val="en-GB"/>
              </w:rPr>
            </w:pPr>
            <w:r w:rsidRPr="00AB7C44">
              <w:rPr>
                <w:rFonts w:asciiTheme="minorHAnsi" w:hAnsiTheme="minorHAnsi" w:cs="Calibri"/>
                <w:lang w:val="en-GB"/>
              </w:rPr>
              <w:t xml:space="preserve">(e) Accreditation (infrastructure, preparations for accreditation, assessments, corrective </w:t>
            </w:r>
            <w:r w:rsidRPr="00AB7C44">
              <w:rPr>
                <w:rFonts w:asciiTheme="minorHAnsi" w:hAnsiTheme="minorHAnsi" w:cs="Calibri"/>
                <w:lang w:val="en-GB"/>
              </w:rPr>
              <w:lastRenderedPageBreak/>
              <w:t xml:space="preserve">actions) </w:t>
            </w:r>
          </w:p>
          <w:p w:rsidR="0095001C" w:rsidRPr="00AB7C44" w:rsidRDefault="0095001C" w:rsidP="0095001C">
            <w:pPr>
              <w:rPr>
                <w:rFonts w:asciiTheme="minorHAnsi" w:hAnsiTheme="minorHAnsi" w:cs="Calibri"/>
                <w:lang w:val="en-GB"/>
              </w:rPr>
            </w:pPr>
            <w:r w:rsidRPr="00AB7C44">
              <w:rPr>
                <w:rFonts w:asciiTheme="minorHAnsi" w:hAnsiTheme="minorHAnsi" w:cs="Calibri"/>
                <w:lang w:val="en-GB"/>
              </w:rPr>
              <w:t>(f) Metrology (infrastructure, calibration, testing, legal metrology)</w:t>
            </w:r>
          </w:p>
          <w:p w:rsidR="0095001C" w:rsidRPr="00AB7C44" w:rsidRDefault="0095001C" w:rsidP="0095001C">
            <w:pPr>
              <w:rPr>
                <w:rFonts w:asciiTheme="minorHAnsi" w:hAnsiTheme="minorHAnsi" w:cs="Calibri"/>
                <w:lang w:val="en-GB"/>
              </w:rPr>
            </w:pPr>
            <w:r w:rsidRPr="00AB7C44">
              <w:rPr>
                <w:rFonts w:asciiTheme="minorHAnsi" w:hAnsiTheme="minorHAnsi" w:cs="Calibri"/>
                <w:lang w:val="en-GB"/>
              </w:rPr>
              <w:t>(g) Conformity assessment (philosophy of new and global approach, CE marking of products, technical documentation for product)</w:t>
            </w:r>
          </w:p>
          <w:p w:rsidR="0095001C" w:rsidRPr="00AB7C44" w:rsidRDefault="0095001C" w:rsidP="0095001C">
            <w:pPr>
              <w:rPr>
                <w:rFonts w:asciiTheme="minorHAnsi" w:hAnsiTheme="minorHAnsi" w:cs="Calibri"/>
                <w:lang w:val="en-GB"/>
              </w:rPr>
            </w:pPr>
            <w:r w:rsidRPr="00AB7C44">
              <w:rPr>
                <w:rFonts w:asciiTheme="minorHAnsi" w:hAnsiTheme="minorHAnsi" w:cs="Calibri"/>
                <w:lang w:val="en-GB"/>
              </w:rPr>
              <w:t>(h) Discussing generic (infrastructural) groups of standards (directives for documentation for quality systems and conformity assessment, etc.)</w:t>
            </w:r>
          </w:p>
          <w:p w:rsidR="0095001C" w:rsidRPr="00AB7C44" w:rsidRDefault="0095001C" w:rsidP="0095001C">
            <w:pPr>
              <w:rPr>
                <w:rFonts w:asciiTheme="minorHAnsi" w:hAnsiTheme="minorHAnsi" w:cs="Calibri"/>
                <w:lang w:val="en-GB"/>
              </w:rPr>
            </w:pPr>
            <w:r w:rsidRPr="00AB7C44">
              <w:rPr>
                <w:rFonts w:asciiTheme="minorHAnsi" w:hAnsiTheme="minorHAnsi" w:cs="Calibri"/>
                <w:lang w:val="en-GB"/>
              </w:rPr>
              <w:t>(i) Assessment and quality management system certification</w:t>
            </w:r>
          </w:p>
          <w:p w:rsidR="00406A37" w:rsidRPr="00AB7C44" w:rsidRDefault="0095001C" w:rsidP="0095001C">
            <w:pPr>
              <w:rPr>
                <w:rFonts w:asciiTheme="minorHAnsi" w:hAnsiTheme="minorHAnsi" w:cs="Calibri"/>
              </w:rPr>
            </w:pPr>
            <w:r w:rsidRPr="00AB7C44">
              <w:rPr>
                <w:rFonts w:asciiTheme="minorHAnsi" w:hAnsiTheme="minorHAnsi" w:cs="Calibri"/>
                <w:lang w:val="en-GB"/>
              </w:rPr>
              <w:t>(j) European technical legislation in different fields (production, laboratory, services, environment, safety, health, etc.) and important EU technical directives, safety of electrical products, LVD (Low Voltage Directive), safety of medical technical systems (basics of electromagnetic compatibility - EMC in health, development of products according to EMC, EMC in hospitals, electromagnetic interference), etc.</w:t>
            </w:r>
          </w:p>
        </w:tc>
      </w:tr>
    </w:tbl>
    <w:p w:rsidR="00D60066" w:rsidRPr="00AB7C44"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AB7C44" w:rsidTr="000B2261">
        <w:tc>
          <w:tcPr>
            <w:tcW w:w="9690" w:type="dxa"/>
            <w:gridSpan w:val="6"/>
            <w:hideMark/>
          </w:tcPr>
          <w:p w:rsidR="00D60066" w:rsidRPr="00AB7C44" w:rsidRDefault="00D60066">
            <w:pPr>
              <w:jc w:val="both"/>
              <w:rPr>
                <w:rFonts w:asciiTheme="minorHAnsi" w:hAnsiTheme="minorHAnsi" w:cs="Calibri"/>
                <w:b/>
              </w:rPr>
            </w:pPr>
            <w:r w:rsidRPr="00AB7C44">
              <w:rPr>
                <w:rFonts w:asciiTheme="minorHAnsi" w:hAnsiTheme="minorHAnsi" w:cs="Calibri"/>
              </w:rPr>
              <w:br w:type="page"/>
            </w:r>
            <w:r w:rsidRPr="00AB7C44">
              <w:rPr>
                <w:rFonts w:asciiTheme="minorHAnsi" w:hAnsiTheme="minorHAnsi" w:cs="Calibri"/>
                <w:b/>
              </w:rPr>
              <w:t>Temeljni literatura in viri / Readings:</w:t>
            </w:r>
          </w:p>
        </w:tc>
      </w:tr>
      <w:tr w:rsidR="00D60066" w:rsidRPr="00AB7C44"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DA5551" w:rsidRPr="00AB7C44" w:rsidRDefault="00DA5551" w:rsidP="00E57E65">
            <w:pPr>
              <w:pStyle w:val="ListParagraph"/>
              <w:numPr>
                <w:ilvl w:val="0"/>
                <w:numId w:val="3"/>
              </w:numPr>
              <w:ind w:left="426"/>
              <w:rPr>
                <w:rFonts w:asciiTheme="minorHAnsi" w:hAnsiTheme="minorHAnsi" w:cs="Calibri"/>
                <w:bCs/>
              </w:rPr>
            </w:pPr>
            <w:bookmarkStart w:id="6" w:name="Ucbeniki"/>
            <w:bookmarkEnd w:id="6"/>
            <w:r w:rsidRPr="00AB7C44">
              <w:rPr>
                <w:rFonts w:asciiTheme="minorHAnsi" w:hAnsiTheme="minorHAnsi" w:cs="Calibri"/>
                <w:bCs/>
              </w:rPr>
              <w:t>www.sist.si, www.iso.org, www.iec.ch, www.iecee.org, www.cenelec.org, www.itu.int,  www.cenorm.be, www.gov.si/sa, www.ilac.org, www.mirs.si, www.euramet.eu, www.wto.org, www.ansi.org, http://ts.nist.gov, www.conformityassessment.org, www.wssn.net, www.oiml.org, www.asq.org, http://ec.europa.eu/enterprise/newapproach/</w:t>
            </w:r>
            <w:r w:rsidR="00E57E65" w:rsidRPr="00AB7C44">
              <w:rPr>
                <w:rFonts w:asciiTheme="minorHAnsi" w:hAnsiTheme="minorHAnsi" w:cs="Calibri"/>
                <w:bCs/>
              </w:rPr>
              <w:t>,</w:t>
            </w:r>
            <w:r w:rsidRPr="00AB7C44">
              <w:rPr>
                <w:rFonts w:asciiTheme="minorHAnsi" w:hAnsiTheme="minorHAnsi" w:cs="Calibri"/>
                <w:bCs/>
              </w:rPr>
              <w:t>http://ec.europa.eu/enterprise/newapproach/index_en.htm</w:t>
            </w:r>
          </w:p>
          <w:p w:rsidR="00DA5551" w:rsidRPr="00AB7C44" w:rsidRDefault="00DA5551" w:rsidP="00E57E65">
            <w:pPr>
              <w:pStyle w:val="ListParagraph"/>
              <w:numPr>
                <w:ilvl w:val="0"/>
                <w:numId w:val="3"/>
              </w:numPr>
              <w:ind w:left="426"/>
              <w:rPr>
                <w:rFonts w:asciiTheme="minorHAnsi" w:hAnsiTheme="minorHAnsi" w:cs="Calibri"/>
                <w:bCs/>
              </w:rPr>
            </w:pPr>
            <w:r w:rsidRPr="00AB7C44">
              <w:rPr>
                <w:rFonts w:asciiTheme="minorHAnsi" w:hAnsiTheme="minorHAnsi" w:cs="Calibri"/>
                <w:bCs/>
              </w:rPr>
              <w:t>Drnovšek, J.; Pušnik, I.; Bojkovski, J.; Begeš, G.; Kakovost sistemov. Ljubljana: Fakulteta za elektrotehniko 2007</w:t>
            </w:r>
          </w:p>
          <w:p w:rsidR="00DA5551" w:rsidRPr="00AB7C44" w:rsidRDefault="00DA5551" w:rsidP="00E57E65">
            <w:pPr>
              <w:pStyle w:val="ListParagraph"/>
              <w:numPr>
                <w:ilvl w:val="0"/>
                <w:numId w:val="3"/>
              </w:numPr>
              <w:ind w:left="426"/>
              <w:rPr>
                <w:rFonts w:asciiTheme="minorHAnsi" w:hAnsiTheme="minorHAnsi" w:cs="Calibri"/>
                <w:bCs/>
              </w:rPr>
            </w:pPr>
            <w:r w:rsidRPr="00AB7C44">
              <w:rPr>
                <w:rFonts w:asciiTheme="minorHAnsi" w:hAnsiTheme="minorHAnsi" w:cs="Calibri"/>
                <w:bCs/>
              </w:rPr>
              <w:t>J.M.Juran, F.M.Gryna, Quality planning and analysis, Mc Graw-Hill ISBN 0-07-112992-8</w:t>
            </w:r>
          </w:p>
          <w:p w:rsidR="00DA5551" w:rsidRPr="00AB7C44" w:rsidRDefault="00DA5551" w:rsidP="00E57E65">
            <w:pPr>
              <w:pStyle w:val="ListParagraph"/>
              <w:numPr>
                <w:ilvl w:val="1"/>
                <w:numId w:val="3"/>
              </w:numPr>
              <w:ind w:left="851"/>
              <w:rPr>
                <w:rFonts w:asciiTheme="minorHAnsi" w:hAnsiTheme="minorHAnsi" w:cs="Calibri"/>
                <w:bCs/>
              </w:rPr>
            </w:pPr>
            <w:r w:rsidRPr="00AB7C44">
              <w:rPr>
                <w:rFonts w:asciiTheme="minorHAnsi" w:hAnsiTheme="minorHAnsi" w:cs="Calibri"/>
                <w:bCs/>
              </w:rPr>
              <w:t>European Union Council Directive 93/42/EEC of 14 June 1993 concerning medical devices (Medical Device Directive), Official Journal L 169</w:t>
            </w:r>
          </w:p>
          <w:p w:rsidR="00DA5551" w:rsidRPr="00AB7C44" w:rsidRDefault="00DA5551" w:rsidP="00E57E65">
            <w:pPr>
              <w:pStyle w:val="ListParagraph"/>
              <w:numPr>
                <w:ilvl w:val="1"/>
                <w:numId w:val="3"/>
              </w:numPr>
              <w:ind w:left="851"/>
              <w:rPr>
                <w:rFonts w:asciiTheme="minorHAnsi" w:hAnsiTheme="minorHAnsi" w:cs="Calibri"/>
                <w:bCs/>
              </w:rPr>
            </w:pPr>
            <w:r w:rsidRPr="00AB7C44">
              <w:rPr>
                <w:rFonts w:asciiTheme="minorHAnsi" w:hAnsiTheme="minorHAnsi" w:cs="Calibri"/>
                <w:bCs/>
              </w:rPr>
              <w:t>The Active Implantable Medical Devices Directive, (AIMDD) 90/385/EEC</w:t>
            </w:r>
          </w:p>
          <w:p w:rsidR="00DA5551" w:rsidRPr="00AB7C44" w:rsidRDefault="00DA5551" w:rsidP="00E57E65">
            <w:pPr>
              <w:pStyle w:val="ListParagraph"/>
              <w:numPr>
                <w:ilvl w:val="1"/>
                <w:numId w:val="3"/>
              </w:numPr>
              <w:ind w:left="851"/>
              <w:rPr>
                <w:rFonts w:asciiTheme="minorHAnsi" w:hAnsiTheme="minorHAnsi" w:cs="Calibri"/>
                <w:bCs/>
              </w:rPr>
            </w:pPr>
            <w:r w:rsidRPr="00AB7C44">
              <w:rPr>
                <w:rFonts w:asciiTheme="minorHAnsi" w:hAnsiTheme="minorHAnsi" w:cs="Calibri"/>
                <w:bCs/>
              </w:rPr>
              <w:t>In Vitro Diagnostic Directive, (IVD) 98/79/EC</w:t>
            </w:r>
          </w:p>
          <w:p w:rsidR="00DA5551" w:rsidRPr="00AB7C44" w:rsidRDefault="00DA5551" w:rsidP="00E57E65">
            <w:pPr>
              <w:pStyle w:val="ListParagraph"/>
              <w:numPr>
                <w:ilvl w:val="0"/>
                <w:numId w:val="3"/>
              </w:numPr>
              <w:ind w:left="426"/>
              <w:rPr>
                <w:rFonts w:asciiTheme="minorHAnsi" w:hAnsiTheme="minorHAnsi" w:cs="Calibri"/>
                <w:bCs/>
              </w:rPr>
            </w:pPr>
            <w:r w:rsidRPr="00AB7C44">
              <w:rPr>
                <w:rFonts w:asciiTheme="minorHAnsi" w:hAnsiTheme="minorHAnsi" w:cs="Calibri"/>
                <w:bCs/>
              </w:rPr>
              <w:t>Lou Chen: Quality Function Deployment, Addison Wesley Longman, 1995</w:t>
            </w:r>
          </w:p>
          <w:p w:rsidR="00DA5551" w:rsidRPr="00AB7C44" w:rsidRDefault="00DA5551" w:rsidP="00E57E65">
            <w:pPr>
              <w:pStyle w:val="ListParagraph"/>
              <w:numPr>
                <w:ilvl w:val="0"/>
                <w:numId w:val="3"/>
              </w:numPr>
              <w:ind w:left="426"/>
              <w:rPr>
                <w:rFonts w:asciiTheme="minorHAnsi" w:hAnsiTheme="minorHAnsi" w:cs="Calibri"/>
                <w:bCs/>
              </w:rPr>
            </w:pPr>
            <w:r w:rsidRPr="00AB7C44">
              <w:rPr>
                <w:rFonts w:asciiTheme="minorHAnsi" w:hAnsiTheme="minorHAnsi" w:cs="Calibri"/>
                <w:bCs/>
              </w:rPr>
              <w:t>A.J.Marlow: Quality control for Technical Documentation, Amazon, 2005</w:t>
            </w:r>
          </w:p>
          <w:p w:rsidR="00DA5551" w:rsidRPr="00AB7C44" w:rsidRDefault="00DA5551" w:rsidP="00E57E65">
            <w:pPr>
              <w:pStyle w:val="ListParagraph"/>
              <w:numPr>
                <w:ilvl w:val="0"/>
                <w:numId w:val="3"/>
              </w:numPr>
              <w:ind w:left="426"/>
              <w:rPr>
                <w:rFonts w:asciiTheme="minorHAnsi" w:hAnsiTheme="minorHAnsi" w:cs="Calibri"/>
                <w:bCs/>
              </w:rPr>
            </w:pPr>
            <w:r w:rsidRPr="00AB7C44">
              <w:rPr>
                <w:rFonts w:asciiTheme="minorHAnsi" w:hAnsiTheme="minorHAnsi" w:cs="Calibri"/>
                <w:bCs/>
              </w:rPr>
              <w:t>VIM - International Vocabulary of Terms in Legal Metrology (OIML, 2000)</w:t>
            </w:r>
          </w:p>
          <w:p w:rsidR="00D60066" w:rsidRPr="00AB7C44" w:rsidRDefault="00DA5551" w:rsidP="00E57E65">
            <w:pPr>
              <w:pStyle w:val="ListParagraph"/>
              <w:numPr>
                <w:ilvl w:val="0"/>
                <w:numId w:val="3"/>
              </w:numPr>
              <w:ind w:left="426"/>
              <w:rPr>
                <w:rFonts w:asciiTheme="minorHAnsi" w:hAnsiTheme="minorHAnsi" w:cs="Calibri"/>
                <w:bCs/>
              </w:rPr>
            </w:pPr>
            <w:r w:rsidRPr="00AB7C44">
              <w:rPr>
                <w:rFonts w:asciiTheme="minorHAnsi" w:hAnsiTheme="minorHAnsi" w:cs="Calibri"/>
                <w:bCs/>
              </w:rPr>
              <w:t>Slovenski inštitut za standardizacijo: SIST EN 45020 - Standardizacija in z njo povezane dejavnosti - Splošni slovar, 2007</w:t>
            </w:r>
          </w:p>
        </w:tc>
      </w:tr>
      <w:tr w:rsidR="00D60066" w:rsidRPr="00AB7C44" w:rsidTr="000B2261">
        <w:trPr>
          <w:trHeight w:val="73"/>
        </w:trPr>
        <w:tc>
          <w:tcPr>
            <w:tcW w:w="4717" w:type="dxa"/>
            <w:gridSpan w:val="2"/>
            <w:tcBorders>
              <w:top w:val="nil"/>
              <w:left w:val="nil"/>
              <w:bottom w:val="single" w:sz="4" w:space="0" w:color="auto"/>
              <w:right w:val="nil"/>
            </w:tcBorders>
          </w:tcPr>
          <w:p w:rsidR="00D60066" w:rsidRPr="00AB7C44" w:rsidRDefault="00D60066">
            <w:pPr>
              <w:rPr>
                <w:rFonts w:asciiTheme="minorHAnsi" w:hAnsiTheme="minorHAnsi" w:cs="Calibri"/>
                <w:b/>
                <w:bCs/>
              </w:rPr>
            </w:pPr>
          </w:p>
          <w:p w:rsidR="00D60066" w:rsidRPr="00AB7C44" w:rsidRDefault="00D60066">
            <w:pPr>
              <w:rPr>
                <w:rFonts w:asciiTheme="minorHAnsi" w:hAnsiTheme="minorHAnsi" w:cs="Calibri"/>
                <w:b/>
              </w:rPr>
            </w:pPr>
            <w:r w:rsidRPr="00AB7C44">
              <w:rPr>
                <w:rFonts w:asciiTheme="minorHAnsi" w:hAnsiTheme="minorHAnsi" w:cs="Calibri"/>
                <w:b/>
              </w:rPr>
              <w:t>Cilji in kompetence:</w:t>
            </w:r>
          </w:p>
        </w:tc>
        <w:tc>
          <w:tcPr>
            <w:tcW w:w="152" w:type="dxa"/>
            <w:gridSpan w:val="2"/>
          </w:tcPr>
          <w:p w:rsidR="00D60066" w:rsidRPr="00AB7C44"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AB7C44" w:rsidRDefault="00D60066">
            <w:pPr>
              <w:rPr>
                <w:rFonts w:asciiTheme="minorHAnsi" w:hAnsiTheme="minorHAnsi" w:cs="Calibri"/>
                <w:b/>
              </w:rPr>
            </w:pPr>
          </w:p>
          <w:p w:rsidR="00D60066" w:rsidRPr="00AB7C44" w:rsidRDefault="00D60066">
            <w:pPr>
              <w:rPr>
                <w:rFonts w:asciiTheme="minorHAnsi" w:hAnsiTheme="minorHAnsi" w:cs="Calibri"/>
                <w:b/>
              </w:rPr>
            </w:pPr>
            <w:r w:rsidRPr="00AB7C44">
              <w:rPr>
                <w:rFonts w:asciiTheme="minorHAnsi" w:hAnsiTheme="minorHAnsi" w:cs="Calibri"/>
                <w:b/>
                <w:lang w:val="en-GB"/>
              </w:rPr>
              <w:t>Objectives and competences</w:t>
            </w:r>
            <w:r w:rsidRPr="00AB7C44">
              <w:rPr>
                <w:rFonts w:asciiTheme="minorHAnsi" w:hAnsiTheme="minorHAnsi" w:cs="Calibri"/>
                <w:b/>
              </w:rPr>
              <w:t>:</w:t>
            </w:r>
          </w:p>
        </w:tc>
      </w:tr>
      <w:tr w:rsidR="00D60066" w:rsidRPr="00AB7C44"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A5551" w:rsidRPr="00AB7C44" w:rsidRDefault="00DA5551" w:rsidP="00DA5551">
            <w:pPr>
              <w:rPr>
                <w:rFonts w:asciiTheme="minorHAnsi" w:hAnsiTheme="minorHAnsi" w:cs="Calibri"/>
              </w:rPr>
            </w:pPr>
            <w:r w:rsidRPr="00AB7C44">
              <w:rPr>
                <w:rFonts w:asciiTheme="minorHAnsi" w:hAnsiTheme="minorHAnsi" w:cs="Calibri"/>
              </w:rPr>
              <w:t xml:space="preserve">Cilj je naučiti in seznaniti študente s temeljnimi tehniškimi zahtevami v okviru evropske </w:t>
            </w:r>
            <w:r w:rsidRPr="00AB7C44">
              <w:rPr>
                <w:rFonts w:asciiTheme="minorHAnsi" w:hAnsiTheme="minorHAnsi" w:cs="Calibri"/>
              </w:rPr>
              <w:lastRenderedPageBreak/>
              <w:t>zakonodaje, ki omogočajo proizvodom in storitvam nastopanje na skupnem evropskem in globalnem trgu ter hkrati zagotavljajo njihov prost pretok v vseh smereh. Značilnost in namen evropske tehniške zakonodaje je  omogočiti delovanje skupnega trga pod enakimi pogoji za vse članice, hkrati pa predstavlja zaščito pred tehniško neskladnimi proizvodi in storitvami.</w:t>
            </w:r>
          </w:p>
          <w:p w:rsidR="00DA5551" w:rsidRPr="00AB7C44" w:rsidRDefault="00DA5551" w:rsidP="00DA5551">
            <w:pPr>
              <w:rPr>
                <w:rFonts w:asciiTheme="minorHAnsi" w:hAnsiTheme="minorHAnsi" w:cs="Calibri"/>
              </w:rPr>
            </w:pPr>
            <w:r w:rsidRPr="00AB7C44">
              <w:rPr>
                <w:rFonts w:asciiTheme="minorHAnsi" w:hAnsiTheme="minorHAnsi" w:cs="Calibri"/>
              </w:rPr>
              <w:t xml:space="preserve">Znanja o evropski tehniški zakonodaji so nepogrešljiv del modernih inženirskih znanj v okviru "EU studies". </w:t>
            </w:r>
          </w:p>
          <w:p w:rsidR="00DA5551" w:rsidRPr="00AB7C44" w:rsidRDefault="00DA5551" w:rsidP="00DA5551">
            <w:pPr>
              <w:rPr>
                <w:rFonts w:asciiTheme="minorHAnsi" w:hAnsiTheme="minorHAnsi" w:cs="Calibri"/>
              </w:rPr>
            </w:pPr>
            <w:r w:rsidRPr="00AB7C44">
              <w:rPr>
                <w:rFonts w:asciiTheme="minorHAnsi" w:hAnsiTheme="minorHAnsi" w:cs="Calibri"/>
              </w:rPr>
              <w:t>Sem spada spoznavanje celotne infrastrukture na tehniškem področju, od standardizacije, akreditacije, meroslovja, sistema celovitega vodenja kakovosti, presoje in certificiranje sistemov za doseganje čim boljših uspehov.  Študent pridobi znanje o zakonodaji, tehniških zahtevah in varnosti. Velik poudarek pa je tudi na okoljski problematiki vezani na kakovost. Študent osvoji tudi znanja o evropskih direktivah. Cilj predmeta je prikaz dejavnosti in postopkov, ki jih izvede proizvajalec, da lahko pritrdi na proizvod znak CE, oznako skladnosti z evropskimi direktivami. Na praktičnih primerih se utrdi teoretično znanje.</w:t>
            </w:r>
          </w:p>
          <w:p w:rsidR="00D60066" w:rsidRPr="00AB7C44" w:rsidRDefault="00DA5551" w:rsidP="00DA5551">
            <w:pPr>
              <w:rPr>
                <w:rFonts w:asciiTheme="minorHAnsi" w:hAnsiTheme="minorHAnsi" w:cs="Calibri"/>
              </w:rPr>
            </w:pPr>
            <w:r w:rsidRPr="00AB7C44">
              <w:rPr>
                <w:rFonts w:asciiTheme="minorHAnsi" w:hAnsiTheme="minorHAnsi" w:cs="Calibri"/>
              </w:rPr>
              <w:t>Prikazana je EU praksa in povezava med zakonodajo, kakovostjo in zaščito potrošnika.</w:t>
            </w:r>
          </w:p>
        </w:tc>
        <w:tc>
          <w:tcPr>
            <w:tcW w:w="152" w:type="dxa"/>
            <w:gridSpan w:val="2"/>
            <w:tcBorders>
              <w:top w:val="nil"/>
              <w:left w:val="single" w:sz="4" w:space="0" w:color="auto"/>
              <w:bottom w:val="nil"/>
              <w:right w:val="single" w:sz="4" w:space="0" w:color="auto"/>
            </w:tcBorders>
          </w:tcPr>
          <w:p w:rsidR="00D60066" w:rsidRPr="00AB7C44"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AB7C44" w:rsidRDefault="00232C38" w:rsidP="008F6996">
            <w:pPr>
              <w:rPr>
                <w:rFonts w:asciiTheme="minorHAnsi" w:hAnsiTheme="minorHAnsi" w:cs="Calibri"/>
                <w:lang w:val="en-GB"/>
              </w:rPr>
            </w:pPr>
            <w:r w:rsidRPr="00AB7C44">
              <w:rPr>
                <w:rFonts w:asciiTheme="minorHAnsi" w:hAnsiTheme="minorHAnsi" w:cs="Calibri"/>
                <w:lang w:val="en-GB"/>
              </w:rPr>
              <w:t xml:space="preserve">The aim of the course is to get acquainted with basic technical requirements concerning </w:t>
            </w:r>
            <w:r w:rsidRPr="00AB7C44">
              <w:rPr>
                <w:rFonts w:asciiTheme="minorHAnsi" w:hAnsiTheme="minorHAnsi" w:cs="Calibri"/>
                <w:lang w:val="en-GB"/>
              </w:rPr>
              <w:lastRenderedPageBreak/>
              <w:t>European legislation that enables products and services to be placed on the common European and global market and at the same time free transfer of goods in all directions. Characteristic and the aim of the European technical legislation is to enable effective common market under the same conditions for all member states and at the same time presents protection from technically non-conform products and services. Knowledge on European technical legislation is indispensable part of modern engineering knowledge in EU studies. This includes learning on whole technical infrastructure from standardization, accreditation, metrology, total quality systems, assessments and certification of systems for achieving the best success. Student gets knowledge on legislation, technical requirements safety and European directives. A great emphasis is also put on environmental problematic connected to quality. The aim of the subject is to present activities and procedures, that manufacturer need to follow to be able to put CE mark (European directives conformity safety mark) on the product. Theoretical knowledge is consolidated with practical examples. Presented is EU practice and connection between legislation, quality and consumer protection.</w:t>
            </w:r>
          </w:p>
        </w:tc>
      </w:tr>
      <w:tr w:rsidR="00D60066" w:rsidRPr="00AB7C44" w:rsidTr="00B50908">
        <w:trPr>
          <w:trHeight w:val="117"/>
        </w:trPr>
        <w:tc>
          <w:tcPr>
            <w:tcW w:w="4727" w:type="dxa"/>
            <w:gridSpan w:val="3"/>
            <w:tcBorders>
              <w:top w:val="nil"/>
              <w:left w:val="nil"/>
              <w:bottom w:val="single" w:sz="4" w:space="0" w:color="auto"/>
              <w:right w:val="nil"/>
            </w:tcBorders>
          </w:tcPr>
          <w:p w:rsidR="00D60066" w:rsidRPr="00AB7C44" w:rsidRDefault="00D60066">
            <w:pPr>
              <w:rPr>
                <w:rFonts w:asciiTheme="minorHAnsi" w:hAnsiTheme="minorHAnsi" w:cs="Calibri"/>
                <w:b/>
              </w:rPr>
            </w:pPr>
          </w:p>
          <w:p w:rsidR="00D60066" w:rsidRPr="00AB7C44" w:rsidRDefault="00D60066">
            <w:pPr>
              <w:rPr>
                <w:rFonts w:asciiTheme="minorHAnsi" w:hAnsiTheme="minorHAnsi" w:cs="Calibri"/>
                <w:b/>
              </w:rPr>
            </w:pPr>
            <w:r w:rsidRPr="00AB7C44">
              <w:rPr>
                <w:rFonts w:asciiTheme="minorHAnsi" w:hAnsiTheme="minorHAnsi" w:cs="Calibri"/>
                <w:b/>
              </w:rPr>
              <w:t>Predvideni študijski rezultati:</w:t>
            </w:r>
          </w:p>
        </w:tc>
        <w:tc>
          <w:tcPr>
            <w:tcW w:w="142" w:type="dxa"/>
          </w:tcPr>
          <w:p w:rsidR="00D60066" w:rsidRPr="00AB7C44" w:rsidRDefault="00D60066">
            <w:pPr>
              <w:rPr>
                <w:rFonts w:asciiTheme="minorHAnsi" w:hAnsiTheme="minorHAnsi" w:cs="Calibri"/>
                <w:b/>
              </w:rPr>
            </w:pPr>
          </w:p>
          <w:p w:rsidR="00D60066" w:rsidRPr="00AB7C44"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AB7C44" w:rsidRDefault="00D60066">
            <w:pPr>
              <w:rPr>
                <w:rFonts w:asciiTheme="minorHAnsi" w:hAnsiTheme="minorHAnsi" w:cs="Calibri"/>
                <w:b/>
                <w:lang w:val="en-GB"/>
              </w:rPr>
            </w:pPr>
          </w:p>
          <w:p w:rsidR="00D60066" w:rsidRPr="00AB7C44" w:rsidRDefault="00D60066">
            <w:pPr>
              <w:rPr>
                <w:rFonts w:asciiTheme="minorHAnsi" w:hAnsiTheme="minorHAnsi" w:cs="Calibri"/>
                <w:b/>
                <w:lang w:val="en-GB"/>
              </w:rPr>
            </w:pPr>
            <w:r w:rsidRPr="00AB7C44">
              <w:rPr>
                <w:rFonts w:asciiTheme="minorHAnsi" w:hAnsiTheme="minorHAnsi" w:cs="Calibri"/>
                <w:b/>
                <w:lang w:val="en-GB"/>
              </w:rPr>
              <w:t>Intended learning outcomes:</w:t>
            </w:r>
          </w:p>
        </w:tc>
      </w:tr>
      <w:tr w:rsidR="000B2261" w:rsidRPr="00AB7C44" w:rsidTr="00B50908">
        <w:trPr>
          <w:trHeight w:val="1387"/>
        </w:trPr>
        <w:tc>
          <w:tcPr>
            <w:tcW w:w="4727" w:type="dxa"/>
            <w:gridSpan w:val="3"/>
            <w:tcBorders>
              <w:top w:val="single" w:sz="4" w:space="0" w:color="auto"/>
              <w:left w:val="single" w:sz="4" w:space="0" w:color="auto"/>
              <w:bottom w:val="single" w:sz="4" w:space="0" w:color="auto"/>
              <w:right w:val="single" w:sz="4" w:space="0" w:color="auto"/>
            </w:tcBorders>
          </w:tcPr>
          <w:p w:rsidR="000B2261" w:rsidRPr="00AB7C44" w:rsidRDefault="00232C38" w:rsidP="006432C5">
            <w:pPr>
              <w:rPr>
                <w:rFonts w:asciiTheme="minorHAnsi" w:hAnsiTheme="minorHAnsi" w:cs="Calibri"/>
              </w:rPr>
            </w:pPr>
            <w:r w:rsidRPr="00AB7C44">
              <w:rPr>
                <w:rFonts w:asciiTheme="minorHAnsi" w:hAnsiTheme="minorHAnsi" w:cs="Calibri"/>
              </w:rPr>
              <w:t>spretnosti uporabe domače in tuje literature ter standardov, direktiv, zakonskih dokumentov, zbiranje, interpretacija tehniških postopkov, implementacija tehniških dokumentov v realne projekte, uporaba različnih metod za reševanje tehniških problemov, interpretacija in ovrednotenje preskusnih rezultatov, široko znanje analize problemov in strukturirano reševanje s ciljem izboljšav</w:t>
            </w:r>
          </w:p>
        </w:tc>
        <w:tc>
          <w:tcPr>
            <w:tcW w:w="142" w:type="dxa"/>
            <w:tcBorders>
              <w:top w:val="nil"/>
              <w:left w:val="single" w:sz="4" w:space="0" w:color="auto"/>
              <w:bottom w:val="nil"/>
              <w:right w:val="single" w:sz="4" w:space="0" w:color="auto"/>
            </w:tcBorders>
          </w:tcPr>
          <w:p w:rsidR="000B2261" w:rsidRPr="00AB7C44"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F547F3" w:rsidRPr="00AB7C44" w:rsidRDefault="00EB5125" w:rsidP="00EB5125">
            <w:pPr>
              <w:rPr>
                <w:rFonts w:asciiTheme="minorHAnsi" w:hAnsiTheme="minorHAnsi" w:cs="Calibri"/>
                <w:lang w:val="en-GB"/>
              </w:rPr>
            </w:pPr>
            <w:r w:rsidRPr="00AB7C44">
              <w:rPr>
                <w:rFonts w:asciiTheme="minorHAnsi" w:hAnsiTheme="minorHAnsi" w:cs="Calibri"/>
                <w:lang w:val="en-GB"/>
              </w:rPr>
              <w:t xml:space="preserve">skills of </w:t>
            </w:r>
            <w:r w:rsidR="000C0447" w:rsidRPr="00AB7C44">
              <w:rPr>
                <w:rFonts w:asciiTheme="minorHAnsi" w:hAnsiTheme="minorHAnsi" w:cs="Calibri"/>
                <w:lang w:val="en-GB"/>
              </w:rPr>
              <w:t>using</w:t>
            </w:r>
            <w:r w:rsidR="006A3C34" w:rsidRPr="00AB7C44">
              <w:rPr>
                <w:rFonts w:asciiTheme="minorHAnsi" w:hAnsiTheme="minorHAnsi" w:cs="Calibri"/>
                <w:lang w:val="en-GB"/>
              </w:rPr>
              <w:t xml:space="preserve"> </w:t>
            </w:r>
            <w:r w:rsidRPr="00AB7C44">
              <w:rPr>
                <w:rFonts w:asciiTheme="minorHAnsi" w:hAnsiTheme="minorHAnsi" w:cs="Calibri"/>
                <w:lang w:val="en-GB"/>
              </w:rPr>
              <w:t xml:space="preserve">domestic and foreign literature and standards, directives and legal documents, collecting and interpreting technical procedures, implementation of technical documents in real projects, use a variety of methods for solving technical problems, interpretation and evaluation of test results, a broad knowledge of problem analysis and solving </w:t>
            </w:r>
            <w:r w:rsidR="006A3C34" w:rsidRPr="00AB7C44">
              <w:rPr>
                <w:rFonts w:asciiTheme="minorHAnsi" w:hAnsiTheme="minorHAnsi" w:cs="Calibri"/>
                <w:lang w:val="en-GB"/>
              </w:rPr>
              <w:t xml:space="preserve">them </w:t>
            </w:r>
            <w:r w:rsidRPr="00AB7C44">
              <w:rPr>
                <w:rFonts w:asciiTheme="minorHAnsi" w:hAnsiTheme="minorHAnsi" w:cs="Calibri"/>
                <w:lang w:val="en-GB"/>
              </w:rPr>
              <w:t>structured with the aim of improvements</w:t>
            </w:r>
          </w:p>
        </w:tc>
      </w:tr>
      <w:tr w:rsidR="000B2261" w:rsidRPr="00AB7C44" w:rsidTr="00B50908">
        <w:tc>
          <w:tcPr>
            <w:tcW w:w="4727" w:type="dxa"/>
            <w:gridSpan w:val="3"/>
            <w:tcBorders>
              <w:top w:val="single" w:sz="4" w:space="0" w:color="auto"/>
              <w:left w:val="nil"/>
              <w:bottom w:val="single" w:sz="4" w:space="0" w:color="auto"/>
              <w:right w:val="nil"/>
            </w:tcBorders>
          </w:tcPr>
          <w:p w:rsidR="000B2261" w:rsidRPr="00AB7C44" w:rsidRDefault="000B2261">
            <w:pPr>
              <w:rPr>
                <w:rFonts w:asciiTheme="minorHAnsi" w:hAnsiTheme="minorHAnsi" w:cs="Calibri"/>
                <w:b/>
              </w:rPr>
            </w:pPr>
          </w:p>
          <w:p w:rsidR="000B2261" w:rsidRPr="00AB7C44" w:rsidRDefault="000B2261">
            <w:pPr>
              <w:rPr>
                <w:rFonts w:asciiTheme="minorHAnsi" w:hAnsiTheme="minorHAnsi" w:cs="Calibri"/>
                <w:b/>
              </w:rPr>
            </w:pPr>
            <w:r w:rsidRPr="00AB7C44">
              <w:rPr>
                <w:rFonts w:asciiTheme="minorHAnsi" w:hAnsiTheme="minorHAnsi" w:cs="Calibri"/>
                <w:b/>
              </w:rPr>
              <w:t>Metode poučevanja in učenja:</w:t>
            </w:r>
          </w:p>
        </w:tc>
        <w:tc>
          <w:tcPr>
            <w:tcW w:w="142" w:type="dxa"/>
          </w:tcPr>
          <w:p w:rsidR="000B2261" w:rsidRPr="00AB7C44" w:rsidRDefault="000B2261">
            <w:pPr>
              <w:rPr>
                <w:rFonts w:asciiTheme="minorHAnsi" w:hAnsiTheme="minorHAnsi" w:cs="Calibri"/>
                <w:b/>
              </w:rPr>
            </w:pPr>
          </w:p>
          <w:p w:rsidR="000B2261" w:rsidRPr="00AB7C44" w:rsidRDefault="000B2261">
            <w:pPr>
              <w:rPr>
                <w:rFonts w:asciiTheme="minorHAnsi" w:hAnsiTheme="minorHAnsi" w:cs="Calibri"/>
                <w:b/>
              </w:rPr>
            </w:pPr>
          </w:p>
        </w:tc>
        <w:tc>
          <w:tcPr>
            <w:tcW w:w="4821" w:type="dxa"/>
            <w:gridSpan w:val="2"/>
            <w:tcBorders>
              <w:top w:val="single" w:sz="4" w:space="0" w:color="auto"/>
              <w:left w:val="nil"/>
              <w:bottom w:val="single" w:sz="4" w:space="0" w:color="auto"/>
              <w:right w:val="nil"/>
            </w:tcBorders>
          </w:tcPr>
          <w:p w:rsidR="000B2261" w:rsidRPr="00AB7C44" w:rsidRDefault="000B2261">
            <w:pPr>
              <w:rPr>
                <w:rFonts w:asciiTheme="minorHAnsi" w:hAnsiTheme="minorHAnsi" w:cs="Calibri"/>
                <w:b/>
              </w:rPr>
            </w:pPr>
          </w:p>
          <w:p w:rsidR="000B2261" w:rsidRPr="00AB7C44" w:rsidRDefault="000B2261">
            <w:pPr>
              <w:rPr>
                <w:rFonts w:asciiTheme="minorHAnsi" w:hAnsiTheme="minorHAnsi" w:cs="Calibri"/>
                <w:b/>
              </w:rPr>
            </w:pPr>
            <w:r w:rsidRPr="00AB7C44">
              <w:rPr>
                <w:rFonts w:asciiTheme="minorHAnsi" w:hAnsiTheme="minorHAnsi" w:cs="Calibri"/>
                <w:b/>
              </w:rPr>
              <w:t>Learning and teaching methods:</w:t>
            </w:r>
          </w:p>
        </w:tc>
      </w:tr>
      <w:tr w:rsidR="000B2261" w:rsidRPr="00AB7C44"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AB7C44" w:rsidRDefault="00DA5551" w:rsidP="00EB5125">
            <w:pPr>
              <w:rPr>
                <w:rFonts w:asciiTheme="minorHAnsi" w:hAnsiTheme="minorHAnsi" w:cs="Calibri"/>
              </w:rPr>
            </w:pPr>
            <w:r w:rsidRPr="00AB7C44">
              <w:rPr>
                <w:rFonts w:asciiTheme="minorHAnsi" w:hAnsiTheme="minorHAnsi" w:cs="Calibri"/>
              </w:rPr>
              <w:t>Predavanja, laboratorijske vaje, seminarska naloga.</w:t>
            </w:r>
          </w:p>
        </w:tc>
        <w:tc>
          <w:tcPr>
            <w:tcW w:w="142" w:type="dxa"/>
            <w:tcBorders>
              <w:top w:val="nil"/>
              <w:left w:val="single" w:sz="4" w:space="0" w:color="auto"/>
              <w:bottom w:val="nil"/>
              <w:right w:val="single" w:sz="4" w:space="0" w:color="auto"/>
            </w:tcBorders>
          </w:tcPr>
          <w:p w:rsidR="000B2261" w:rsidRPr="00AB7C44"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AB7C44" w:rsidRDefault="00EB5125">
            <w:pPr>
              <w:rPr>
                <w:rFonts w:asciiTheme="minorHAnsi" w:hAnsiTheme="minorHAnsi" w:cs="Calibri"/>
              </w:rPr>
            </w:pPr>
            <w:r w:rsidRPr="00AB7C44">
              <w:rPr>
                <w:rFonts w:asciiTheme="minorHAnsi" w:hAnsiTheme="minorHAnsi" w:cs="Calibri"/>
                <w:lang w:val="en-GB"/>
              </w:rPr>
              <w:t>Lectures, exercises, seminar work</w:t>
            </w:r>
            <w:r w:rsidRPr="00AB7C44">
              <w:rPr>
                <w:rFonts w:asciiTheme="minorHAnsi" w:hAnsiTheme="minorHAnsi" w:cs="Calibri"/>
              </w:rPr>
              <w:t>.</w:t>
            </w:r>
          </w:p>
        </w:tc>
      </w:tr>
      <w:tr w:rsidR="000B2261" w:rsidRPr="00AB7C44" w:rsidTr="000B2261">
        <w:tc>
          <w:tcPr>
            <w:tcW w:w="4020" w:type="dxa"/>
            <w:tcBorders>
              <w:top w:val="nil"/>
              <w:left w:val="nil"/>
              <w:bottom w:val="single" w:sz="4" w:space="0" w:color="auto"/>
              <w:right w:val="nil"/>
            </w:tcBorders>
          </w:tcPr>
          <w:p w:rsidR="000B2261" w:rsidRPr="00AB7C44" w:rsidRDefault="000B2261">
            <w:pPr>
              <w:rPr>
                <w:rFonts w:asciiTheme="minorHAnsi" w:hAnsiTheme="minorHAnsi" w:cs="Calibri"/>
                <w:b/>
              </w:rPr>
            </w:pPr>
          </w:p>
          <w:p w:rsidR="000B2261" w:rsidRPr="00AB7C44" w:rsidRDefault="000B2261">
            <w:pPr>
              <w:rPr>
                <w:rFonts w:asciiTheme="minorHAnsi" w:hAnsiTheme="minorHAnsi" w:cs="Calibri"/>
                <w:b/>
              </w:rPr>
            </w:pPr>
            <w:r w:rsidRPr="00AB7C44">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AB7C44" w:rsidRDefault="000B2261">
            <w:pPr>
              <w:rPr>
                <w:rFonts w:asciiTheme="minorHAnsi" w:hAnsiTheme="minorHAnsi" w:cs="Calibri"/>
              </w:rPr>
            </w:pPr>
            <w:r w:rsidRPr="00AB7C44">
              <w:rPr>
                <w:rFonts w:asciiTheme="minorHAnsi" w:hAnsiTheme="minorHAnsi" w:cs="Calibri"/>
              </w:rPr>
              <w:t>Delež (v %) /</w:t>
            </w:r>
          </w:p>
          <w:p w:rsidR="000B2261" w:rsidRPr="00AB7C44" w:rsidRDefault="000B2261">
            <w:pPr>
              <w:rPr>
                <w:rFonts w:asciiTheme="minorHAnsi" w:hAnsiTheme="minorHAnsi" w:cs="Calibri"/>
                <w:b/>
              </w:rPr>
            </w:pPr>
            <w:r w:rsidRPr="00AB7C44">
              <w:rPr>
                <w:rFonts w:asciiTheme="minorHAnsi" w:hAnsiTheme="minorHAnsi" w:cs="Calibri"/>
              </w:rPr>
              <w:t>Weight (in %)</w:t>
            </w:r>
          </w:p>
        </w:tc>
        <w:tc>
          <w:tcPr>
            <w:tcW w:w="4110" w:type="dxa"/>
            <w:tcBorders>
              <w:top w:val="nil"/>
              <w:left w:val="nil"/>
              <w:bottom w:val="single" w:sz="4" w:space="0" w:color="auto"/>
              <w:right w:val="nil"/>
            </w:tcBorders>
          </w:tcPr>
          <w:p w:rsidR="000B2261" w:rsidRPr="00AB7C44" w:rsidRDefault="000B2261">
            <w:pPr>
              <w:rPr>
                <w:rFonts w:asciiTheme="minorHAnsi" w:hAnsiTheme="minorHAnsi" w:cs="Calibri"/>
                <w:b/>
              </w:rPr>
            </w:pPr>
          </w:p>
          <w:p w:rsidR="000B2261" w:rsidRPr="00AB7C44" w:rsidRDefault="000B2261">
            <w:pPr>
              <w:rPr>
                <w:rFonts w:asciiTheme="minorHAnsi" w:hAnsiTheme="minorHAnsi" w:cs="Calibri"/>
                <w:b/>
              </w:rPr>
            </w:pPr>
            <w:r w:rsidRPr="00AB7C44">
              <w:rPr>
                <w:rFonts w:asciiTheme="minorHAnsi" w:hAnsiTheme="minorHAnsi" w:cs="Calibri"/>
                <w:b/>
              </w:rPr>
              <w:t>Assessment:</w:t>
            </w:r>
          </w:p>
        </w:tc>
      </w:tr>
      <w:tr w:rsidR="000B2261" w:rsidRPr="00AB7C44" w:rsidTr="00EB5125">
        <w:trPr>
          <w:trHeight w:val="533"/>
        </w:trPr>
        <w:tc>
          <w:tcPr>
            <w:tcW w:w="4020" w:type="dxa"/>
            <w:tcBorders>
              <w:top w:val="single" w:sz="4" w:space="0" w:color="auto"/>
              <w:left w:val="single" w:sz="4" w:space="0" w:color="auto"/>
              <w:bottom w:val="single" w:sz="4" w:space="0" w:color="auto"/>
              <w:right w:val="single" w:sz="4" w:space="0" w:color="auto"/>
            </w:tcBorders>
          </w:tcPr>
          <w:p w:rsidR="00E2004C" w:rsidRPr="00AB7C44" w:rsidRDefault="00E2004C" w:rsidP="00E2004C">
            <w:pPr>
              <w:rPr>
                <w:rFonts w:asciiTheme="minorHAnsi" w:hAnsiTheme="minorHAnsi" w:cs="Calibri"/>
              </w:rPr>
            </w:pPr>
            <w:r w:rsidRPr="00AB7C44">
              <w:rPr>
                <w:rFonts w:asciiTheme="minorHAnsi" w:hAnsiTheme="minorHAnsi" w:cs="Calibri"/>
              </w:rPr>
              <w:lastRenderedPageBreak/>
              <w:t>Način:</w:t>
            </w:r>
            <w:r w:rsidR="00562947" w:rsidRPr="00AB7C44">
              <w:rPr>
                <w:rFonts w:asciiTheme="minorHAnsi" w:hAnsiTheme="minorHAnsi" w:cs="Calibri"/>
              </w:rPr>
              <w:t xml:space="preserve"> domače naloge in</w:t>
            </w:r>
            <w:r w:rsidRPr="00AB7C44">
              <w:rPr>
                <w:rFonts w:asciiTheme="minorHAnsi" w:hAnsiTheme="minorHAnsi" w:cs="Calibri"/>
              </w:rPr>
              <w:t xml:space="preserve"> projekt</w:t>
            </w:r>
            <w:r w:rsidR="00562947" w:rsidRPr="00AB7C44">
              <w:rPr>
                <w:rFonts w:asciiTheme="minorHAnsi" w:hAnsiTheme="minorHAnsi" w:cs="Calibri"/>
              </w:rPr>
              <w:t>i</w:t>
            </w:r>
            <w:r w:rsidRPr="00AB7C44">
              <w:rPr>
                <w:rFonts w:asciiTheme="minorHAnsi" w:hAnsiTheme="minorHAnsi" w:cs="Calibri"/>
              </w:rPr>
              <w:t>, ustni izpit.</w:t>
            </w:r>
          </w:p>
          <w:p w:rsidR="00E2004C" w:rsidRPr="00AB7C44" w:rsidRDefault="00E2004C" w:rsidP="00E2004C">
            <w:pPr>
              <w:rPr>
                <w:rFonts w:asciiTheme="minorHAnsi" w:hAnsiTheme="minorHAnsi" w:cs="Calibri"/>
              </w:rPr>
            </w:pPr>
            <w:r w:rsidRPr="00AB7C44">
              <w:rPr>
                <w:rFonts w:asciiTheme="minorHAnsi" w:hAnsiTheme="minorHAnsi" w:cs="Calibri"/>
              </w:rPr>
              <w:t>Ocene od 1 do vključno 5 so negativne, ocene od vključno 6 do 10 so pozitivne.</w:t>
            </w:r>
          </w:p>
          <w:p w:rsidR="00E2004C" w:rsidRPr="00AB7C44" w:rsidRDefault="00E2004C" w:rsidP="00E2004C">
            <w:pPr>
              <w:rPr>
                <w:rFonts w:asciiTheme="minorHAnsi" w:hAnsiTheme="minorHAnsi" w:cs="Calibri"/>
              </w:rPr>
            </w:pPr>
            <w:r w:rsidRPr="00AB7C44">
              <w:rPr>
                <w:rFonts w:asciiTheme="minorHAnsi" w:hAnsiTheme="minorHAnsi" w:cs="Calibri"/>
              </w:rPr>
              <w:t xml:space="preserve">Pozitivna ocena </w:t>
            </w:r>
            <w:r w:rsidR="00562947" w:rsidRPr="00AB7C44">
              <w:rPr>
                <w:rFonts w:asciiTheme="minorHAnsi" w:hAnsiTheme="minorHAnsi" w:cs="Calibri"/>
              </w:rPr>
              <w:t>domačih nalog</w:t>
            </w:r>
            <w:r w:rsidRPr="00AB7C44">
              <w:rPr>
                <w:rFonts w:asciiTheme="minorHAnsi" w:hAnsiTheme="minorHAnsi" w:cs="Calibri"/>
              </w:rPr>
              <w:t xml:space="preserve"> in projektov je pogoj za pristop k izpitu.</w:t>
            </w:r>
          </w:p>
          <w:p w:rsidR="00E2004C" w:rsidRPr="00AB7C44" w:rsidRDefault="00E2004C" w:rsidP="00E2004C">
            <w:pPr>
              <w:rPr>
                <w:rFonts w:asciiTheme="minorHAnsi" w:hAnsiTheme="minorHAnsi" w:cs="Calibri"/>
              </w:rPr>
            </w:pPr>
          </w:p>
          <w:p w:rsidR="00E2004C" w:rsidRPr="00AB7C44" w:rsidRDefault="00E2004C" w:rsidP="00E2004C">
            <w:pPr>
              <w:rPr>
                <w:rFonts w:asciiTheme="minorHAnsi" w:hAnsiTheme="minorHAnsi" w:cs="Calibri"/>
              </w:rPr>
            </w:pPr>
            <w:r w:rsidRPr="00AB7C44">
              <w:rPr>
                <w:rFonts w:asciiTheme="minorHAnsi" w:hAnsiTheme="minorHAnsi" w:cs="Calibri"/>
              </w:rPr>
              <w:t>Prispevki k oceni:</w:t>
            </w:r>
          </w:p>
          <w:p w:rsidR="00E2004C" w:rsidRPr="00AB7C44" w:rsidRDefault="00562947" w:rsidP="00E2004C">
            <w:pPr>
              <w:rPr>
                <w:rFonts w:asciiTheme="minorHAnsi" w:hAnsiTheme="minorHAnsi" w:cs="Calibri"/>
              </w:rPr>
            </w:pPr>
            <w:r w:rsidRPr="00AB7C44">
              <w:rPr>
                <w:rFonts w:asciiTheme="minorHAnsi" w:hAnsiTheme="minorHAnsi" w:cs="Calibri"/>
              </w:rPr>
              <w:t>domače naloge</w:t>
            </w:r>
            <w:r w:rsidR="00E2004C" w:rsidRPr="00AB7C44">
              <w:rPr>
                <w:rFonts w:asciiTheme="minorHAnsi" w:hAnsiTheme="minorHAnsi" w:cs="Calibri"/>
              </w:rPr>
              <w:t xml:space="preserve"> in projekti</w:t>
            </w:r>
          </w:p>
          <w:p w:rsidR="000B2261" w:rsidRPr="00AB7C44" w:rsidRDefault="00E2004C" w:rsidP="00EB5125">
            <w:pPr>
              <w:rPr>
                <w:rFonts w:asciiTheme="minorHAnsi" w:hAnsiTheme="minorHAnsi" w:cs="Calibri"/>
              </w:rPr>
            </w:pPr>
            <w:r w:rsidRPr="00AB7C44">
              <w:rPr>
                <w:rFonts w:asciiTheme="minorHAnsi" w:hAnsiTheme="minorHAnsi" w:cs="Calibri"/>
              </w:rPr>
              <w:t>ustni izpit</w:t>
            </w:r>
          </w:p>
        </w:tc>
        <w:tc>
          <w:tcPr>
            <w:tcW w:w="1560" w:type="dxa"/>
            <w:gridSpan w:val="4"/>
            <w:tcBorders>
              <w:top w:val="single" w:sz="4" w:space="0" w:color="auto"/>
              <w:left w:val="single" w:sz="4" w:space="0" w:color="auto"/>
              <w:bottom w:val="single" w:sz="4" w:space="0" w:color="auto"/>
              <w:right w:val="single" w:sz="4" w:space="0" w:color="auto"/>
            </w:tcBorders>
          </w:tcPr>
          <w:p w:rsidR="00E2004C" w:rsidRPr="00AB7C44" w:rsidRDefault="00E2004C" w:rsidP="00EB5125">
            <w:pPr>
              <w:rPr>
                <w:rFonts w:asciiTheme="minorHAnsi" w:hAnsiTheme="minorHAnsi" w:cs="Calibri"/>
              </w:rPr>
            </w:pPr>
          </w:p>
          <w:p w:rsidR="00E2004C" w:rsidRPr="00AB7C44" w:rsidRDefault="00E2004C" w:rsidP="00EB5125">
            <w:pPr>
              <w:rPr>
                <w:rFonts w:asciiTheme="minorHAnsi" w:hAnsiTheme="minorHAnsi" w:cs="Calibri"/>
              </w:rPr>
            </w:pPr>
          </w:p>
          <w:p w:rsidR="00E2004C" w:rsidRPr="00AB7C44" w:rsidRDefault="00E2004C" w:rsidP="00EB5125">
            <w:pPr>
              <w:rPr>
                <w:rFonts w:asciiTheme="minorHAnsi" w:hAnsiTheme="minorHAnsi" w:cs="Calibri"/>
              </w:rPr>
            </w:pPr>
          </w:p>
          <w:p w:rsidR="00E2004C" w:rsidRPr="00AB7C44" w:rsidRDefault="00E2004C" w:rsidP="00EB5125">
            <w:pPr>
              <w:rPr>
                <w:rFonts w:asciiTheme="minorHAnsi" w:hAnsiTheme="minorHAnsi" w:cs="Calibri"/>
              </w:rPr>
            </w:pPr>
          </w:p>
          <w:p w:rsidR="00E2004C" w:rsidRPr="00AB7C44" w:rsidRDefault="00E2004C" w:rsidP="00EB5125">
            <w:pPr>
              <w:rPr>
                <w:rFonts w:asciiTheme="minorHAnsi" w:hAnsiTheme="minorHAnsi" w:cs="Calibri"/>
              </w:rPr>
            </w:pPr>
          </w:p>
          <w:p w:rsidR="00E2004C" w:rsidRPr="00AB7C44" w:rsidRDefault="00E2004C" w:rsidP="00EB5125">
            <w:pPr>
              <w:rPr>
                <w:rFonts w:asciiTheme="minorHAnsi" w:hAnsiTheme="minorHAnsi" w:cs="Calibri"/>
              </w:rPr>
            </w:pPr>
          </w:p>
          <w:p w:rsidR="00E2004C" w:rsidRPr="00AB7C44" w:rsidRDefault="00E2004C" w:rsidP="00EB5125">
            <w:pPr>
              <w:rPr>
                <w:rFonts w:asciiTheme="minorHAnsi" w:hAnsiTheme="minorHAnsi" w:cs="Calibri"/>
              </w:rPr>
            </w:pPr>
          </w:p>
          <w:p w:rsidR="00E2004C" w:rsidRPr="00AB7C44" w:rsidRDefault="00E2004C" w:rsidP="00EB5125">
            <w:pPr>
              <w:rPr>
                <w:rFonts w:asciiTheme="minorHAnsi" w:hAnsiTheme="minorHAnsi" w:cs="Calibri"/>
              </w:rPr>
            </w:pPr>
          </w:p>
          <w:p w:rsidR="000B2261" w:rsidRPr="00AB7C44" w:rsidRDefault="00582735" w:rsidP="00EB5125">
            <w:pPr>
              <w:rPr>
                <w:rFonts w:asciiTheme="minorHAnsi" w:hAnsiTheme="minorHAnsi" w:cs="Calibri"/>
              </w:rPr>
            </w:pPr>
            <w:r w:rsidRPr="00AB7C44">
              <w:rPr>
                <w:rFonts w:asciiTheme="minorHAnsi" w:hAnsiTheme="minorHAnsi" w:cs="Calibri"/>
              </w:rPr>
              <w:t>5</w:t>
            </w:r>
            <w:r w:rsidR="00E2004C" w:rsidRPr="00AB7C44">
              <w:rPr>
                <w:rFonts w:asciiTheme="minorHAnsi" w:hAnsiTheme="minorHAnsi" w:cs="Calibri"/>
              </w:rPr>
              <w:t>0</w:t>
            </w:r>
            <w:r w:rsidR="00EB5125" w:rsidRPr="00AB7C44">
              <w:rPr>
                <w:rFonts w:asciiTheme="minorHAnsi" w:hAnsiTheme="minorHAnsi" w:cs="Calibri"/>
              </w:rPr>
              <w:t xml:space="preserve"> %</w:t>
            </w:r>
          </w:p>
          <w:p w:rsidR="00EB5125" w:rsidRPr="00AB7C44" w:rsidRDefault="00582735" w:rsidP="00EB5125">
            <w:pPr>
              <w:rPr>
                <w:rFonts w:asciiTheme="minorHAnsi" w:hAnsiTheme="minorHAnsi" w:cs="Calibri"/>
              </w:rPr>
            </w:pPr>
            <w:r w:rsidRPr="00AB7C44">
              <w:rPr>
                <w:rFonts w:asciiTheme="minorHAnsi" w:hAnsiTheme="minorHAnsi" w:cs="Calibri"/>
              </w:rPr>
              <w:t>5</w:t>
            </w:r>
            <w:r w:rsidR="00E2004C" w:rsidRPr="00AB7C44">
              <w:rPr>
                <w:rFonts w:asciiTheme="minorHAnsi" w:hAnsiTheme="minorHAnsi" w:cs="Calibri"/>
              </w:rPr>
              <w:t>0</w:t>
            </w:r>
            <w:r w:rsidR="00EB5125" w:rsidRPr="00AB7C44">
              <w:rPr>
                <w:rFonts w:asciiTheme="minorHAnsi" w:hAnsiTheme="minorHAnsi" w:cs="Calibri"/>
              </w:rPr>
              <w:t xml:space="preserve"> %</w:t>
            </w:r>
          </w:p>
        </w:tc>
        <w:tc>
          <w:tcPr>
            <w:tcW w:w="4110" w:type="dxa"/>
            <w:tcBorders>
              <w:top w:val="single" w:sz="4" w:space="0" w:color="auto"/>
              <w:left w:val="single" w:sz="4" w:space="0" w:color="auto"/>
              <w:bottom w:val="single" w:sz="4" w:space="0" w:color="auto"/>
              <w:right w:val="single" w:sz="4" w:space="0" w:color="auto"/>
            </w:tcBorders>
          </w:tcPr>
          <w:p w:rsidR="00E2004C" w:rsidRPr="00AB7C44" w:rsidRDefault="00E2004C" w:rsidP="00E2004C">
            <w:pPr>
              <w:rPr>
                <w:rFonts w:asciiTheme="minorHAnsi" w:hAnsiTheme="minorHAnsi" w:cs="Calibri"/>
                <w:lang w:val="en-GB"/>
              </w:rPr>
            </w:pPr>
            <w:r w:rsidRPr="00AB7C44">
              <w:rPr>
                <w:rFonts w:asciiTheme="minorHAnsi" w:hAnsiTheme="minorHAnsi" w:cs="Calibri"/>
                <w:lang w:val="en-GB"/>
              </w:rPr>
              <w:t>Type:</w:t>
            </w:r>
            <w:r w:rsidR="00562947" w:rsidRPr="00AB7C44">
              <w:rPr>
                <w:rFonts w:asciiTheme="minorHAnsi" w:hAnsiTheme="minorHAnsi" w:cs="Calibri"/>
                <w:lang w:val="en-GB"/>
              </w:rPr>
              <w:t xml:space="preserve"> homework and</w:t>
            </w:r>
            <w:r w:rsidRPr="00AB7C44">
              <w:rPr>
                <w:rFonts w:asciiTheme="minorHAnsi" w:hAnsiTheme="minorHAnsi" w:cs="Calibri"/>
                <w:lang w:val="en-GB"/>
              </w:rPr>
              <w:t xml:space="preserve"> project, oral exam.</w:t>
            </w:r>
          </w:p>
          <w:p w:rsidR="00E2004C" w:rsidRPr="00AB7C44" w:rsidRDefault="00E2004C" w:rsidP="00E2004C">
            <w:pPr>
              <w:rPr>
                <w:rFonts w:asciiTheme="minorHAnsi" w:hAnsiTheme="minorHAnsi" w:cs="Calibri"/>
                <w:lang w:val="en-GB"/>
              </w:rPr>
            </w:pPr>
            <w:r w:rsidRPr="00AB7C44">
              <w:rPr>
                <w:rFonts w:asciiTheme="minorHAnsi" w:hAnsiTheme="minorHAnsi" w:cs="Calibri"/>
                <w:lang w:val="en-GB"/>
              </w:rPr>
              <w:t xml:space="preserve">Negative grades: from 1 to 5, positive grades:  from 6 to 10. </w:t>
            </w:r>
          </w:p>
          <w:p w:rsidR="00E2004C" w:rsidRPr="00AB7C44" w:rsidRDefault="00E2004C" w:rsidP="00E2004C">
            <w:pPr>
              <w:rPr>
                <w:rFonts w:asciiTheme="minorHAnsi" w:hAnsiTheme="minorHAnsi" w:cs="Calibri"/>
                <w:lang w:val="en-GB"/>
              </w:rPr>
            </w:pPr>
            <w:r w:rsidRPr="00AB7C44">
              <w:rPr>
                <w:rFonts w:asciiTheme="minorHAnsi" w:hAnsiTheme="minorHAnsi" w:cs="Calibri"/>
                <w:lang w:val="en-GB"/>
              </w:rPr>
              <w:t xml:space="preserve">Positive evaluation of </w:t>
            </w:r>
            <w:r w:rsidR="00562947" w:rsidRPr="00AB7C44">
              <w:rPr>
                <w:rFonts w:asciiTheme="minorHAnsi" w:hAnsiTheme="minorHAnsi" w:cs="Calibri"/>
                <w:lang w:val="en-GB"/>
              </w:rPr>
              <w:t>homework</w:t>
            </w:r>
            <w:r w:rsidRPr="00AB7C44">
              <w:rPr>
                <w:rFonts w:asciiTheme="minorHAnsi" w:hAnsiTheme="minorHAnsi" w:cs="Calibri"/>
                <w:lang w:val="en-GB"/>
              </w:rPr>
              <w:t xml:space="preserve"> and projects is a prerequisite for the exam.</w:t>
            </w:r>
          </w:p>
          <w:p w:rsidR="00E2004C" w:rsidRPr="00AB7C44" w:rsidRDefault="00E2004C" w:rsidP="00E2004C">
            <w:pPr>
              <w:rPr>
                <w:rFonts w:asciiTheme="minorHAnsi" w:hAnsiTheme="minorHAnsi" w:cs="Calibri"/>
                <w:lang w:val="en-GB"/>
              </w:rPr>
            </w:pPr>
          </w:p>
          <w:p w:rsidR="00582735" w:rsidRPr="00AB7C44" w:rsidRDefault="00582735" w:rsidP="00E2004C">
            <w:pPr>
              <w:rPr>
                <w:rFonts w:asciiTheme="minorHAnsi" w:hAnsiTheme="minorHAnsi" w:cs="Calibri"/>
                <w:lang w:val="en-GB"/>
              </w:rPr>
            </w:pPr>
          </w:p>
          <w:p w:rsidR="00E2004C" w:rsidRPr="00AB7C44" w:rsidRDefault="00E2004C" w:rsidP="00E2004C">
            <w:pPr>
              <w:rPr>
                <w:rFonts w:asciiTheme="minorHAnsi" w:hAnsiTheme="minorHAnsi" w:cs="Calibri"/>
                <w:lang w:val="en-GB"/>
              </w:rPr>
            </w:pPr>
            <w:r w:rsidRPr="00AB7C44">
              <w:rPr>
                <w:rFonts w:asciiTheme="minorHAnsi" w:hAnsiTheme="minorHAnsi" w:cs="Calibri"/>
                <w:lang w:val="en-GB"/>
              </w:rPr>
              <w:t>Contributions to final grade:</w:t>
            </w:r>
          </w:p>
          <w:p w:rsidR="00E2004C" w:rsidRPr="00AB7C44" w:rsidRDefault="00562947" w:rsidP="00E2004C">
            <w:pPr>
              <w:rPr>
                <w:rFonts w:asciiTheme="minorHAnsi" w:hAnsiTheme="minorHAnsi" w:cs="Calibri"/>
                <w:lang w:val="en-GB"/>
              </w:rPr>
            </w:pPr>
            <w:r w:rsidRPr="00AB7C44">
              <w:rPr>
                <w:rFonts w:asciiTheme="minorHAnsi" w:hAnsiTheme="minorHAnsi" w:cs="Calibri"/>
                <w:lang w:val="en-GB"/>
              </w:rPr>
              <w:t>homework</w:t>
            </w:r>
            <w:r w:rsidR="00E2004C" w:rsidRPr="00AB7C44">
              <w:rPr>
                <w:rFonts w:asciiTheme="minorHAnsi" w:hAnsiTheme="minorHAnsi" w:cs="Calibri"/>
                <w:lang w:val="en-GB"/>
              </w:rPr>
              <w:t xml:space="preserve"> and projects</w:t>
            </w:r>
          </w:p>
          <w:p w:rsidR="00EB5125" w:rsidRPr="00AB7C44" w:rsidRDefault="00E2004C" w:rsidP="00E2004C">
            <w:pPr>
              <w:rPr>
                <w:rFonts w:asciiTheme="minorHAnsi" w:hAnsiTheme="minorHAnsi" w:cs="Calibri"/>
              </w:rPr>
            </w:pPr>
            <w:r w:rsidRPr="00AB7C44">
              <w:rPr>
                <w:rFonts w:asciiTheme="minorHAnsi" w:hAnsiTheme="minorHAnsi" w:cs="Calibri"/>
                <w:lang w:val="en-GB"/>
              </w:rPr>
              <w:t>oral examination</w:t>
            </w:r>
          </w:p>
        </w:tc>
      </w:tr>
      <w:tr w:rsidR="000B2261" w:rsidRPr="00AB7C44" w:rsidTr="000B2261">
        <w:tc>
          <w:tcPr>
            <w:tcW w:w="9690" w:type="dxa"/>
            <w:gridSpan w:val="6"/>
            <w:tcBorders>
              <w:top w:val="single" w:sz="4" w:space="0" w:color="auto"/>
              <w:left w:val="nil"/>
              <w:bottom w:val="single" w:sz="4" w:space="0" w:color="auto"/>
              <w:right w:val="nil"/>
            </w:tcBorders>
          </w:tcPr>
          <w:p w:rsidR="000B2261" w:rsidRPr="00AB7C44" w:rsidRDefault="000B2261">
            <w:pPr>
              <w:rPr>
                <w:rFonts w:asciiTheme="minorHAnsi" w:hAnsiTheme="minorHAnsi" w:cs="Calibri"/>
                <w:b/>
              </w:rPr>
            </w:pPr>
          </w:p>
          <w:p w:rsidR="000B2261" w:rsidRPr="00AB7C44" w:rsidRDefault="000B2261">
            <w:pPr>
              <w:rPr>
                <w:rFonts w:asciiTheme="minorHAnsi" w:hAnsiTheme="minorHAnsi" w:cs="Calibri"/>
                <w:b/>
              </w:rPr>
            </w:pPr>
            <w:r w:rsidRPr="00AB7C44">
              <w:rPr>
                <w:rFonts w:asciiTheme="minorHAnsi" w:hAnsiTheme="minorHAnsi" w:cs="Calibri"/>
                <w:b/>
              </w:rPr>
              <w:t xml:space="preserve">Reference nosilca / Lecturer's references: </w:t>
            </w:r>
          </w:p>
        </w:tc>
      </w:tr>
      <w:tr w:rsidR="000B2261" w:rsidRPr="00AB7C44" w:rsidTr="000B2261">
        <w:tc>
          <w:tcPr>
            <w:tcW w:w="9690" w:type="dxa"/>
            <w:gridSpan w:val="6"/>
            <w:tcBorders>
              <w:top w:val="single" w:sz="4" w:space="0" w:color="auto"/>
              <w:left w:val="single" w:sz="4" w:space="0" w:color="auto"/>
              <w:bottom w:val="single" w:sz="4" w:space="0" w:color="auto"/>
              <w:right w:val="single" w:sz="4" w:space="0" w:color="auto"/>
            </w:tcBorders>
          </w:tcPr>
          <w:p w:rsidR="00841853" w:rsidRPr="00AB7C44" w:rsidRDefault="00080144" w:rsidP="00E57E65">
            <w:pPr>
              <w:pStyle w:val="ListParagraph"/>
              <w:numPr>
                <w:ilvl w:val="0"/>
                <w:numId w:val="2"/>
              </w:numPr>
              <w:ind w:left="426"/>
              <w:rPr>
                <w:rFonts w:asciiTheme="minorHAnsi" w:hAnsiTheme="minorHAnsi" w:cs="Calibri"/>
              </w:rPr>
            </w:pPr>
            <w:r w:rsidRPr="00AB7C44">
              <w:rPr>
                <w:rFonts w:asciiTheme="minorHAnsi" w:hAnsiTheme="minorHAnsi" w:cs="Calibri"/>
              </w:rPr>
              <w:t>DRNOVŠEK, Janko, BEGEŠ, Gaber. Evropska tehniška zakonodaja in infrastruktura : povzetek predavanj. 1. izd. Ljubljana: Fakulteta za elektrotehniko, Laboratorij za metrologijo in kakovost, 2015. II, 97 str.</w:t>
            </w:r>
          </w:p>
          <w:p w:rsidR="000B2261" w:rsidRPr="00AB7C44" w:rsidRDefault="006A3C34" w:rsidP="00E57E65">
            <w:pPr>
              <w:pStyle w:val="ListParagraph"/>
              <w:numPr>
                <w:ilvl w:val="0"/>
                <w:numId w:val="2"/>
              </w:numPr>
              <w:ind w:left="426"/>
              <w:rPr>
                <w:rFonts w:asciiTheme="minorHAnsi" w:hAnsiTheme="minorHAnsi" w:cs="Calibri"/>
              </w:rPr>
            </w:pPr>
            <w:r w:rsidRPr="00AB7C44">
              <w:rPr>
                <w:rFonts w:asciiTheme="minorHAnsi" w:hAnsiTheme="minorHAnsi" w:cs="Calibri"/>
              </w:rPr>
              <w:t>BEGEŠ, Gaber, DRNOVŠEK, Janko, OGOREVC, Jaka, BOJKOVSKI, Jovan. Influence of different temperature sensors on measuring energy efficiency and heating-up time of hobs. V: TEMPMEKO 2013 special issue 3 : selected papers of the 12th International Symposium on Temperature, Humidity, Moisture and Thermal Measurements in Industry and Science, (International journal of thermophysics, ISSN 0195-928X, vol. 36, no. 2/3, Mar. 2015)</w:t>
            </w:r>
          </w:p>
          <w:p w:rsidR="006A3C34" w:rsidRPr="00AB7C44" w:rsidRDefault="006A3C34" w:rsidP="00E57E65">
            <w:pPr>
              <w:pStyle w:val="ListParagraph"/>
              <w:numPr>
                <w:ilvl w:val="0"/>
                <w:numId w:val="2"/>
              </w:numPr>
              <w:ind w:left="426"/>
              <w:rPr>
                <w:rFonts w:asciiTheme="minorHAnsi" w:hAnsiTheme="minorHAnsi" w:cs="Calibri"/>
              </w:rPr>
            </w:pPr>
            <w:r w:rsidRPr="00AB7C44">
              <w:rPr>
                <w:rFonts w:asciiTheme="minorHAnsi" w:hAnsiTheme="minorHAnsi" w:cs="Calibri"/>
              </w:rPr>
              <w:t xml:space="preserve">BEGEŠ, Gaber, DRNOVŠEK, Janko. Implementation of international requirements when presenting research results. V: Proceedings of XX IMEKO World Congress : 9 (Sun) - 14 (Fri) September 2012, Bexco, Busan, Republic of Korea. [S. </w:t>
            </w:r>
            <w:r w:rsidR="003F6084" w:rsidRPr="00AB7C44">
              <w:rPr>
                <w:rFonts w:asciiTheme="minorHAnsi" w:hAnsiTheme="minorHAnsi" w:cs="Calibri"/>
              </w:rPr>
              <w:t>l.]: IMEKO, cop. 2012, str. 1-4</w:t>
            </w:r>
            <w:r w:rsidRPr="00AB7C44">
              <w:rPr>
                <w:rFonts w:asciiTheme="minorHAnsi" w:hAnsiTheme="minorHAnsi" w:cs="Calibri"/>
              </w:rPr>
              <w:t>.</w:t>
            </w:r>
          </w:p>
          <w:p w:rsidR="006A3C34" w:rsidRPr="00AB7C44" w:rsidRDefault="006A3C34" w:rsidP="00E57E65">
            <w:pPr>
              <w:pStyle w:val="ListParagraph"/>
              <w:numPr>
                <w:ilvl w:val="0"/>
                <w:numId w:val="2"/>
              </w:numPr>
              <w:ind w:left="426"/>
              <w:rPr>
                <w:rFonts w:asciiTheme="minorHAnsi" w:hAnsiTheme="minorHAnsi" w:cs="Calibri"/>
              </w:rPr>
            </w:pPr>
            <w:r w:rsidRPr="00AB7C44">
              <w:rPr>
                <w:rFonts w:asciiTheme="minorHAnsi" w:hAnsiTheme="minorHAnsi" w:cs="Calibri"/>
              </w:rPr>
              <w:t>DRNOVŠEK, Janko, PUŠNIK, Igor, BOJKOVSKI, Jovan, BEGEŠ, Gaber. Regional cooperation in proficiency testing : strategy planning and practical experiences in Western Balkan countries. Accreditation and quality assurance, ISSN 0949-1775, Feb. 2010, vol. 15, no. 2, str. 125-131</w:t>
            </w:r>
          </w:p>
          <w:p w:rsidR="006A3C34" w:rsidRPr="00AB7C44" w:rsidRDefault="00EB228B" w:rsidP="00C40104">
            <w:pPr>
              <w:pStyle w:val="ListParagraph"/>
              <w:numPr>
                <w:ilvl w:val="0"/>
                <w:numId w:val="2"/>
              </w:numPr>
              <w:ind w:left="426"/>
              <w:rPr>
                <w:rFonts w:asciiTheme="minorHAnsi" w:hAnsiTheme="minorHAnsi" w:cs="Calibri"/>
              </w:rPr>
            </w:pPr>
            <w:r w:rsidRPr="00AB7C44">
              <w:rPr>
                <w:rFonts w:asciiTheme="minorHAnsi" w:hAnsiTheme="minorHAnsi" w:cs="Calibri"/>
              </w:rPr>
              <w:t xml:space="preserve">5. </w:t>
            </w:r>
            <w:r w:rsidR="006A3C34" w:rsidRPr="00AB7C44">
              <w:rPr>
                <w:rFonts w:asciiTheme="minorHAnsi" w:hAnsiTheme="minorHAnsi" w:cs="Calibri"/>
              </w:rPr>
              <w:t>BEGEŠ, Gaber, DRNOVŠEK, Janko, PENDRILL, L. R. Optimising calibration and measurement capabilities in terms of economics in conformity assessment. Accreditation and quality assurance, ISSN 0949-1775, Mar. 2010, vol. 15, no. 3, str. 147-154.</w:t>
            </w:r>
          </w:p>
        </w:tc>
      </w:tr>
    </w:tbl>
    <w:p w:rsidR="00BA1F90" w:rsidRPr="00AB7C44" w:rsidRDefault="00BA1F90">
      <w:pPr>
        <w:rPr>
          <w:rFonts w:asciiTheme="minorHAnsi" w:hAnsiTheme="minorHAnsi"/>
        </w:rPr>
      </w:pPr>
    </w:p>
    <w:sectPr w:rsidR="00BA1F90" w:rsidRPr="00AB7C44"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E039E7"/>
    <w:multiLevelType w:val="hybridMultilevel"/>
    <w:tmpl w:val="0FA69B5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44CA30D4"/>
    <w:multiLevelType w:val="hybridMultilevel"/>
    <w:tmpl w:val="8852124A"/>
    <w:lvl w:ilvl="0" w:tplc="0424000F">
      <w:start w:val="1"/>
      <w:numFmt w:val="decimal"/>
      <w:lvlText w:val="%1."/>
      <w:lvlJc w:val="left"/>
      <w:pPr>
        <w:ind w:left="720" w:hanging="360"/>
      </w:pPr>
    </w:lvl>
    <w:lvl w:ilvl="1" w:tplc="18AE2A3C">
      <w:start w:val="10"/>
      <w:numFmt w:val="bullet"/>
      <w:lvlText w:val="-"/>
      <w:lvlJc w:val="left"/>
      <w:pPr>
        <w:ind w:left="1440" w:hanging="360"/>
      </w:pPr>
      <w:rPr>
        <w:rFonts w:ascii="Calibri" w:eastAsia="Calibri" w:hAnsi="Calibri" w:cs="Calibri" w:hint="default"/>
      </w:r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5FAE6A4F"/>
    <w:multiLevelType w:val="hybridMultilevel"/>
    <w:tmpl w:val="092401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compat>
    <w:compatSetting w:name="compatibilityMode" w:uri="http://schemas.microsoft.com/office/word" w:val="12"/>
  </w:compat>
  <w:rsids>
    <w:rsidRoot w:val="00D60066"/>
    <w:rsid w:val="000703E4"/>
    <w:rsid w:val="00080144"/>
    <w:rsid w:val="00083739"/>
    <w:rsid w:val="000B2261"/>
    <w:rsid w:val="000B4444"/>
    <w:rsid w:val="000C0447"/>
    <w:rsid w:val="000C2C3D"/>
    <w:rsid w:val="000E605D"/>
    <w:rsid w:val="000F0552"/>
    <w:rsid w:val="000F41E9"/>
    <w:rsid w:val="0011662C"/>
    <w:rsid w:val="001509CC"/>
    <w:rsid w:val="0018213C"/>
    <w:rsid w:val="00193FC1"/>
    <w:rsid w:val="001B60F1"/>
    <w:rsid w:val="001C5CD1"/>
    <w:rsid w:val="001D5408"/>
    <w:rsid w:val="00207896"/>
    <w:rsid w:val="0022218A"/>
    <w:rsid w:val="00232C38"/>
    <w:rsid w:val="002724BA"/>
    <w:rsid w:val="002F300A"/>
    <w:rsid w:val="0035424F"/>
    <w:rsid w:val="00384EDA"/>
    <w:rsid w:val="003B24DE"/>
    <w:rsid w:val="003D48ED"/>
    <w:rsid w:val="003F0EBD"/>
    <w:rsid w:val="003F6084"/>
    <w:rsid w:val="00406A37"/>
    <w:rsid w:val="004D6761"/>
    <w:rsid w:val="00530AB8"/>
    <w:rsid w:val="0053523E"/>
    <w:rsid w:val="00562947"/>
    <w:rsid w:val="00582735"/>
    <w:rsid w:val="005903BA"/>
    <w:rsid w:val="005F2863"/>
    <w:rsid w:val="006253E7"/>
    <w:rsid w:val="006432C5"/>
    <w:rsid w:val="006A3C34"/>
    <w:rsid w:val="006F27EB"/>
    <w:rsid w:val="00784B8D"/>
    <w:rsid w:val="007B5E3F"/>
    <w:rsid w:val="0082408F"/>
    <w:rsid w:val="00841853"/>
    <w:rsid w:val="008F6996"/>
    <w:rsid w:val="00900FF4"/>
    <w:rsid w:val="0095001C"/>
    <w:rsid w:val="0095150D"/>
    <w:rsid w:val="0099267E"/>
    <w:rsid w:val="009C5723"/>
    <w:rsid w:val="00A024F8"/>
    <w:rsid w:val="00A02BF5"/>
    <w:rsid w:val="00AB7C44"/>
    <w:rsid w:val="00AE692F"/>
    <w:rsid w:val="00AF4BBA"/>
    <w:rsid w:val="00B12423"/>
    <w:rsid w:val="00B17FF5"/>
    <w:rsid w:val="00B37024"/>
    <w:rsid w:val="00B50908"/>
    <w:rsid w:val="00B87B5F"/>
    <w:rsid w:val="00BA1F90"/>
    <w:rsid w:val="00C043A7"/>
    <w:rsid w:val="00C16E51"/>
    <w:rsid w:val="00C40104"/>
    <w:rsid w:val="00C44581"/>
    <w:rsid w:val="00D3785B"/>
    <w:rsid w:val="00D51111"/>
    <w:rsid w:val="00D60066"/>
    <w:rsid w:val="00D6782B"/>
    <w:rsid w:val="00D826CD"/>
    <w:rsid w:val="00DA5551"/>
    <w:rsid w:val="00E10EF2"/>
    <w:rsid w:val="00E2004C"/>
    <w:rsid w:val="00E57E65"/>
    <w:rsid w:val="00E948BA"/>
    <w:rsid w:val="00EB228B"/>
    <w:rsid w:val="00EB5125"/>
    <w:rsid w:val="00EF7242"/>
    <w:rsid w:val="00F367FD"/>
    <w:rsid w:val="00F41409"/>
    <w:rsid w:val="00F547F3"/>
    <w:rsid w:val="00F761FC"/>
    <w:rsid w:val="00F866D2"/>
    <w:rsid w:val="00F86B6D"/>
    <w:rsid w:val="00FE420F"/>
    <w:rsid w:val="00FE4C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CCB6FF-BAA7-497D-BBE3-DF5D2DCD9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1586</Words>
  <Characters>9043</Characters>
  <Application>Microsoft Office Word</Application>
  <DocSecurity>0</DocSecurity>
  <Lines>75</Lines>
  <Paragraphs>21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LMK</Company>
  <LinksUpToDate>false</LinksUpToDate>
  <CharactersWithSpaces>10608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Sašo Tomažič</cp:lastModifiedBy>
  <cp:revision>14</cp:revision>
  <dcterms:created xsi:type="dcterms:W3CDTF">2015-03-31T07:12:00Z</dcterms:created>
  <dcterms:modified xsi:type="dcterms:W3CDTF">2016-06-02T17:48:00Z</dcterms:modified>
</cp:coreProperties>
</file>