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890"/>
        <w:gridCol w:w="618"/>
        <w:gridCol w:w="799"/>
        <w:gridCol w:w="612"/>
        <w:gridCol w:w="10"/>
        <w:gridCol w:w="142"/>
        <w:gridCol w:w="654"/>
        <w:gridCol w:w="194"/>
        <w:gridCol w:w="940"/>
        <w:gridCol w:w="283"/>
        <w:gridCol w:w="1325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A54BBB" w:rsidRDefault="00F11794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proofErr w:type="spellStart"/>
            <w:r w:rsidRPr="00A54BBB">
              <w:rPr>
                <w:rFonts w:asciiTheme="minorHAnsi" w:hAnsiTheme="minorHAnsi"/>
              </w:rPr>
              <w:t>Nanoelektronika</w:t>
            </w:r>
            <w:proofErr w:type="spellEnd"/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title:</w:t>
            </w:r>
          </w:p>
        </w:tc>
        <w:tc>
          <w:tcPr>
            <w:tcW w:w="7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A54BBB" w:rsidRDefault="00F11794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proofErr w:type="spellStart"/>
            <w:r w:rsidRPr="00A54BBB">
              <w:rPr>
                <w:rFonts w:asciiTheme="minorHAnsi" w:hAnsiTheme="minorHAnsi"/>
              </w:rPr>
              <w:t>Nanoelectronics</w:t>
            </w:r>
            <w:proofErr w:type="spellEnd"/>
          </w:p>
        </w:tc>
      </w:tr>
      <w:tr w:rsidR="00D60066" w:rsidTr="002548EE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351" w:type="dxa"/>
            <w:gridSpan w:val="7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2548EE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3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9C5723" w:rsidTr="002548EE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D81959" w:rsidRDefault="009C5723" w:rsidP="009C5723">
            <w:pPr>
              <w:jc w:val="center"/>
              <w:rPr>
                <w:rFonts w:cs="Calibri"/>
                <w:bCs/>
              </w:rPr>
            </w:pPr>
            <w:r w:rsidRPr="00D81959">
              <w:rPr>
                <w:rFonts w:cs="Calibri"/>
                <w:bCs/>
              </w:rPr>
              <w:t>Podiplomski magistrski študijski program druge stopnje Elektrotehnika</w:t>
            </w:r>
          </w:p>
        </w:tc>
        <w:tc>
          <w:tcPr>
            <w:tcW w:w="3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1D700A" w:rsidRDefault="00900FF4" w:rsidP="00900FF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Tahoma"/>
                <w:bCs/>
                <w:color w:val="333333"/>
                <w:kern w:val="36"/>
              </w:rPr>
              <w:t>Elekt</w:t>
            </w:r>
            <w:r w:rsidR="009C5723" w:rsidRPr="001D700A">
              <w:rPr>
                <w:rFonts w:asciiTheme="minorHAnsi" w:hAnsiTheme="minorHAnsi" w:cs="Tahoma"/>
                <w:bCs/>
                <w:color w:val="333333"/>
                <w:kern w:val="36"/>
              </w:rPr>
              <w:t>ronika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763E5E" w:rsidRDefault="009C5723" w:rsidP="009C5723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763E5E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1D700A" w:rsidRDefault="00D3785B" w:rsidP="009C5723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Fonts w:asciiTheme="minorHAnsi" w:hAnsiTheme="minorHAnsi" w:cs="Calibri"/>
                <w:bCs/>
                <w:color w:val="000000" w:themeColor="text1"/>
              </w:rPr>
              <w:t>2</w:t>
            </w:r>
          </w:p>
        </w:tc>
      </w:tr>
      <w:tr w:rsidR="009C5723" w:rsidTr="002548EE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  <w:r w:rsidRPr="00D81959">
              <w:rPr>
                <w:lang w:val="en-GB"/>
              </w:rPr>
              <w:t>2</w:t>
            </w:r>
            <w:r w:rsidRPr="00D81959">
              <w:rPr>
                <w:vertAlign w:val="superscript"/>
                <w:lang w:val="en-GB"/>
              </w:rPr>
              <w:t>nd</w:t>
            </w:r>
            <w:r w:rsidRPr="00D81959">
              <w:rPr>
                <w:lang w:val="en-GB"/>
              </w:rPr>
              <w:t xml:space="preserve"> cycle masters study </w:t>
            </w:r>
            <w:r w:rsidRPr="00D81959">
              <w:rPr>
                <w:noProof/>
                <w:lang w:val="en-GB"/>
              </w:rPr>
              <w:t xml:space="preserve">programme in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 xml:space="preserve">lectrical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>ngineering</w:t>
            </w:r>
          </w:p>
        </w:tc>
        <w:tc>
          <w:tcPr>
            <w:tcW w:w="3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A54BBB" w:rsidRDefault="00900FF4" w:rsidP="00B17FF5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proofErr w:type="spellStart"/>
            <w:r w:rsidRPr="00A54BBB">
              <w:rPr>
                <w:rFonts w:asciiTheme="minorHAnsi" w:hAnsiTheme="minorHAnsi"/>
                <w:bCs/>
                <w:lang w:bidi="si-LK"/>
              </w:rPr>
              <w:t>Elec</w:t>
            </w:r>
            <w:r w:rsidR="009C5723" w:rsidRPr="00A54BBB">
              <w:rPr>
                <w:rFonts w:asciiTheme="minorHAnsi" w:hAnsiTheme="minorHAnsi"/>
                <w:bCs/>
                <w:lang w:bidi="si-LK"/>
              </w:rPr>
              <w:t>tronics</w:t>
            </w:r>
            <w:proofErr w:type="spellEnd"/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763E5E" w:rsidRDefault="009C5723" w:rsidP="009C5723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763E5E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1D700A" w:rsidRDefault="00D3785B" w:rsidP="009C5723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Fonts w:asciiTheme="minorHAnsi" w:hAnsiTheme="minorHAnsi" w:cs="Calibri"/>
                <w:bCs/>
                <w:color w:val="000000" w:themeColor="text1"/>
              </w:rPr>
              <w:t>2</w:t>
            </w:r>
          </w:p>
        </w:tc>
      </w:tr>
      <w:tr w:rsidR="009C5723" w:rsidTr="00384EDA">
        <w:trPr>
          <w:trHeight w:val="103"/>
        </w:trPr>
        <w:tc>
          <w:tcPr>
            <w:tcW w:w="9690" w:type="dxa"/>
            <w:gridSpan w:val="17"/>
          </w:tcPr>
          <w:p w:rsidR="009C5723" w:rsidRDefault="009C5723" w:rsidP="009C5723">
            <w:pPr>
              <w:rPr>
                <w:rFonts w:cs="Calibri"/>
                <w:b/>
                <w:bCs/>
              </w:rPr>
            </w:pPr>
          </w:p>
        </w:tc>
      </w:tr>
      <w:tr w:rsidR="009C5723" w:rsidTr="00384EDA">
        <w:tc>
          <w:tcPr>
            <w:tcW w:w="5718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BB" w:rsidRDefault="009C5723" w:rsidP="00A54BBB">
            <w:pPr>
              <w:rPr>
                <w:bCs/>
                <w:lang w:val="en-GB"/>
              </w:rPr>
            </w:pPr>
            <w:r>
              <w:rPr>
                <w:rFonts w:cs="Calibri"/>
              </w:rPr>
              <w:t>Obvezni-strokovni /</w:t>
            </w:r>
          </w:p>
          <w:p w:rsidR="009C5723" w:rsidRDefault="00A54BBB" w:rsidP="00A54BBB">
            <w:pPr>
              <w:rPr>
                <w:rFonts w:cs="Calibri"/>
              </w:rPr>
            </w:pPr>
            <w:r>
              <w:rPr>
                <w:bCs/>
                <w:lang w:val="en-GB"/>
              </w:rPr>
              <w:t>Compulsory professional</w:t>
            </w:r>
          </w:p>
        </w:tc>
      </w:tr>
      <w:tr w:rsidR="009C5723" w:rsidTr="00384EDA">
        <w:tc>
          <w:tcPr>
            <w:tcW w:w="5718" w:type="dxa"/>
            <w:gridSpan w:val="11"/>
          </w:tcPr>
          <w:p w:rsidR="009C5723" w:rsidRDefault="009C5723" w:rsidP="009C5723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</w:rPr>
            </w:pPr>
          </w:p>
        </w:tc>
      </w:tr>
      <w:tr w:rsidR="009C5723" w:rsidTr="00384EDA">
        <w:tc>
          <w:tcPr>
            <w:tcW w:w="5718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F11794" w:rsidP="009C5723">
            <w:pPr>
              <w:rPr>
                <w:rFonts w:cs="Calibri"/>
              </w:rPr>
            </w:pPr>
            <w:r>
              <w:rPr>
                <w:rFonts w:cs="Calibri"/>
              </w:rPr>
              <w:t>64226</w:t>
            </w:r>
          </w:p>
        </w:tc>
      </w:tr>
      <w:tr w:rsidR="009C5723" w:rsidTr="00384EDA">
        <w:tc>
          <w:tcPr>
            <w:tcW w:w="9690" w:type="dxa"/>
            <w:gridSpan w:val="17"/>
          </w:tcPr>
          <w:p w:rsidR="009C5723" w:rsidRDefault="009C5723" w:rsidP="009C5723">
            <w:pPr>
              <w:rPr>
                <w:rFonts w:cs="Calibri"/>
              </w:rPr>
            </w:pPr>
          </w:p>
        </w:tc>
      </w:tr>
      <w:tr w:rsidR="009C5723" w:rsidTr="003E61C3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9C5723" w:rsidRDefault="009C5723" w:rsidP="009C5723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9C5723" w:rsidTr="003E61C3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9C5723" w:rsidTr="00384EDA">
        <w:tc>
          <w:tcPr>
            <w:tcW w:w="9690" w:type="dxa"/>
            <w:gridSpan w:val="17"/>
          </w:tcPr>
          <w:p w:rsidR="009C5723" w:rsidRDefault="009C5723" w:rsidP="009C5723">
            <w:pPr>
              <w:rPr>
                <w:rFonts w:cs="Calibri"/>
                <w:b/>
                <w:bCs/>
              </w:rPr>
            </w:pPr>
          </w:p>
        </w:tc>
      </w:tr>
      <w:tr w:rsidR="009C5723" w:rsidTr="00384EDA">
        <w:tc>
          <w:tcPr>
            <w:tcW w:w="3307" w:type="dxa"/>
            <w:gridSpan w:val="5"/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F11794" w:rsidP="009C5723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Franc Smole</w:t>
            </w:r>
          </w:p>
        </w:tc>
      </w:tr>
      <w:tr w:rsidR="009C5723" w:rsidTr="00384EDA">
        <w:tc>
          <w:tcPr>
            <w:tcW w:w="9690" w:type="dxa"/>
            <w:gridSpan w:val="17"/>
          </w:tcPr>
          <w:p w:rsidR="009C5723" w:rsidRDefault="009C5723" w:rsidP="009C5723">
            <w:pPr>
              <w:jc w:val="both"/>
              <w:rPr>
                <w:rFonts w:cs="Calibri"/>
              </w:rPr>
            </w:pPr>
          </w:p>
        </w:tc>
      </w:tr>
      <w:tr w:rsidR="009C5723" w:rsidTr="003E61C3">
        <w:tc>
          <w:tcPr>
            <w:tcW w:w="1641" w:type="dxa"/>
            <w:gridSpan w:val="2"/>
            <w:vMerge w:val="restart"/>
            <w:hideMark/>
          </w:tcPr>
          <w:p w:rsidR="009C5723" w:rsidRDefault="00A54BBB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Jeziki /</w:t>
            </w:r>
          </w:p>
          <w:p w:rsidR="009C5723" w:rsidRDefault="009C5723" w:rsidP="009C5723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465" w:type="dxa"/>
            <w:gridSpan w:val="4"/>
            <w:hideMark/>
          </w:tcPr>
          <w:p w:rsidR="009C5723" w:rsidRDefault="00A54BBB" w:rsidP="009C5723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 w:rsidR="009C5723">
              <w:rPr>
                <w:rFonts w:cs="Calibri"/>
                <w:b/>
                <w:szCs w:val="22"/>
              </w:rPr>
              <w:t>Lectures</w:t>
            </w:r>
            <w:proofErr w:type="spellEnd"/>
            <w:r w:rsidR="009C5723"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5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Pr="00C67BC7" w:rsidRDefault="00A07E42" w:rsidP="009C5723">
            <w:pPr>
              <w:jc w:val="both"/>
              <w:rPr>
                <w:rFonts w:cs="Calibri"/>
                <w:bCs/>
              </w:rPr>
            </w:pPr>
            <w:bookmarkStart w:id="3" w:name="Jezik"/>
            <w:bookmarkEnd w:id="3"/>
            <w:r>
              <w:rPr>
                <w:rFonts w:cs="Calibri"/>
                <w:bCs/>
              </w:rPr>
              <w:t>s</w:t>
            </w:r>
            <w:r w:rsidR="00C67BC7" w:rsidRPr="00C67BC7">
              <w:rPr>
                <w:rFonts w:cs="Calibri"/>
                <w:bCs/>
              </w:rPr>
              <w:t>lovenski/</w:t>
            </w:r>
            <w:proofErr w:type="spellStart"/>
            <w:r w:rsidR="00C67BC7" w:rsidRPr="00C67BC7">
              <w:rPr>
                <w:rFonts w:cs="Calibri"/>
                <w:bCs/>
              </w:rPr>
              <w:t>Slovene</w:t>
            </w:r>
            <w:proofErr w:type="spellEnd"/>
          </w:p>
        </w:tc>
      </w:tr>
      <w:tr w:rsidR="009C5723" w:rsidTr="003E61C3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9C5723" w:rsidRDefault="009C5723" w:rsidP="009C5723">
            <w:pPr>
              <w:rPr>
                <w:rFonts w:cs="Calibri"/>
              </w:rPr>
            </w:pPr>
          </w:p>
        </w:tc>
        <w:tc>
          <w:tcPr>
            <w:tcW w:w="2465" w:type="dxa"/>
            <w:gridSpan w:val="4"/>
            <w:hideMark/>
          </w:tcPr>
          <w:p w:rsidR="009C5723" w:rsidRDefault="00A54BBB" w:rsidP="009C5723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 w:rsidR="009C5723">
              <w:rPr>
                <w:rFonts w:cs="Calibri"/>
                <w:b/>
                <w:szCs w:val="22"/>
              </w:rPr>
              <w:t>Tutorial</w:t>
            </w:r>
            <w:proofErr w:type="spellEnd"/>
            <w:r w:rsidR="009C5723"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5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Pr="00C67BC7" w:rsidRDefault="00A07E42" w:rsidP="009C5723">
            <w:pPr>
              <w:rPr>
                <w:rFonts w:cs="Calibri"/>
                <w:bCs/>
              </w:rPr>
            </w:pPr>
            <w:bookmarkStart w:id="4" w:name="JezikV"/>
            <w:bookmarkEnd w:id="4"/>
            <w:r>
              <w:rPr>
                <w:rFonts w:cs="Calibri"/>
                <w:bCs/>
              </w:rPr>
              <w:t>s</w:t>
            </w:r>
            <w:r w:rsidR="00C67BC7" w:rsidRPr="00C67BC7">
              <w:rPr>
                <w:rFonts w:cs="Calibri"/>
                <w:bCs/>
              </w:rPr>
              <w:t>lovenski/</w:t>
            </w:r>
            <w:proofErr w:type="spellStart"/>
            <w:r w:rsidR="00C67BC7" w:rsidRPr="00C67BC7">
              <w:rPr>
                <w:rFonts w:cs="Calibri"/>
                <w:bCs/>
              </w:rPr>
              <w:t>Slovene</w:t>
            </w:r>
            <w:proofErr w:type="spellEnd"/>
          </w:p>
        </w:tc>
      </w:tr>
      <w:tr w:rsidR="009C5723" w:rsidTr="00384EDA">
        <w:tc>
          <w:tcPr>
            <w:tcW w:w="47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  <w:b/>
                <w:bCs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9C5723" w:rsidRDefault="009C5723" w:rsidP="009C5723">
            <w:pPr>
              <w:rPr>
                <w:rFonts w:cs="Calibri"/>
                <w:b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  <w:b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9C5723" w:rsidTr="00E948BA">
        <w:trPr>
          <w:trHeight w:val="240"/>
        </w:trPr>
        <w:tc>
          <w:tcPr>
            <w:tcW w:w="4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2400A9" w:rsidP="0055790E">
            <w:pPr>
              <w:rPr>
                <w:rFonts w:cs="Calibri"/>
              </w:rPr>
            </w:pPr>
            <w:r>
              <w:rPr>
                <w:rFonts w:cs="Calibri"/>
              </w:rPr>
              <w:t>Vpis v letnik</w:t>
            </w:r>
            <w:r w:rsidR="0055790E"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723" w:rsidRDefault="009C5723" w:rsidP="009C5723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Pr="00087F83" w:rsidRDefault="0055790E" w:rsidP="00907CD6">
            <w:pPr>
              <w:rPr>
                <w:lang w:val="en-GB"/>
              </w:rPr>
            </w:pPr>
            <w:r>
              <w:rPr>
                <w:lang w:val="en-GB"/>
              </w:rPr>
              <w:t>Enrolment in the year of the course.</w:t>
            </w:r>
          </w:p>
        </w:tc>
      </w:tr>
      <w:tr w:rsidR="009C5723" w:rsidTr="00384EDA">
        <w:trPr>
          <w:trHeight w:val="137"/>
        </w:trPr>
        <w:tc>
          <w:tcPr>
            <w:tcW w:w="47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  <w:b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9C5723" w:rsidRDefault="009C5723" w:rsidP="009C5723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Pr="00087F83" w:rsidRDefault="009C5723" w:rsidP="009C5723">
            <w:pPr>
              <w:rPr>
                <w:rFonts w:cs="Calibri"/>
                <w:b/>
                <w:lang w:val="en-GB"/>
              </w:rPr>
            </w:pPr>
          </w:p>
          <w:p w:rsidR="009C5723" w:rsidRPr="00087F83" w:rsidRDefault="009C5723" w:rsidP="009C5723">
            <w:pPr>
              <w:rPr>
                <w:rFonts w:cs="Calibri"/>
                <w:b/>
                <w:lang w:val="en-GB"/>
              </w:rPr>
            </w:pPr>
            <w:r w:rsidRPr="00087F83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9C5723" w:rsidTr="00384EDA">
        <w:trPr>
          <w:trHeight w:val="2665"/>
        </w:trPr>
        <w:tc>
          <w:tcPr>
            <w:tcW w:w="47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CD6" w:rsidRDefault="00F11794" w:rsidP="009C5723">
            <w:pPr>
              <w:rPr>
                <w:rFonts w:cs="Calibri"/>
              </w:rPr>
            </w:pPr>
            <w:r w:rsidRPr="00F11794">
              <w:rPr>
                <w:rFonts w:cs="Calibri"/>
              </w:rPr>
              <w:t xml:space="preserve">Definicija </w:t>
            </w:r>
            <w:proofErr w:type="spellStart"/>
            <w:r w:rsidRPr="00F11794">
              <w:rPr>
                <w:rFonts w:cs="Calibri"/>
              </w:rPr>
              <w:t>nanoelektronike</w:t>
            </w:r>
            <w:proofErr w:type="spellEnd"/>
            <w:r w:rsidRPr="00F11794">
              <w:rPr>
                <w:rFonts w:cs="Calibri"/>
              </w:rPr>
              <w:t xml:space="preserve"> in nanotehnologij. </w:t>
            </w:r>
            <w:r w:rsidR="00907CD6">
              <w:rPr>
                <w:rFonts w:cs="Calibri"/>
              </w:rPr>
              <w:t xml:space="preserve">Obeti na področju </w:t>
            </w:r>
            <w:proofErr w:type="spellStart"/>
            <w:r w:rsidR="00907CD6">
              <w:rPr>
                <w:rFonts w:cs="Calibri"/>
              </w:rPr>
              <w:t>nanoznanosti</w:t>
            </w:r>
            <w:proofErr w:type="spellEnd"/>
            <w:r w:rsidR="00907CD6">
              <w:rPr>
                <w:rFonts w:cs="Calibri"/>
              </w:rPr>
              <w:t>.</w:t>
            </w:r>
          </w:p>
          <w:p w:rsidR="00C24EE7" w:rsidRDefault="00F11794" w:rsidP="009C5723">
            <w:pPr>
              <w:rPr>
                <w:rFonts w:cs="Calibri"/>
              </w:rPr>
            </w:pPr>
            <w:r w:rsidRPr="00F11794">
              <w:rPr>
                <w:rFonts w:cs="Calibri"/>
              </w:rPr>
              <w:t xml:space="preserve">Pregled postopkov izdelave </w:t>
            </w:r>
            <w:proofErr w:type="spellStart"/>
            <w:r w:rsidRPr="00F11794">
              <w:rPr>
                <w:rFonts w:cs="Calibri"/>
              </w:rPr>
              <w:t>nanostruktur</w:t>
            </w:r>
            <w:proofErr w:type="spellEnd"/>
            <w:r w:rsidRPr="00F11794">
              <w:rPr>
                <w:rFonts w:cs="Calibri"/>
              </w:rPr>
              <w:t xml:space="preserve">. Oblikovanje od zgoraj navzdol in od spodaj navzgor. </w:t>
            </w:r>
            <w:proofErr w:type="spellStart"/>
            <w:r w:rsidRPr="00F11794">
              <w:rPr>
                <w:rFonts w:cs="Calibri"/>
              </w:rPr>
              <w:t>Skaliranje</w:t>
            </w:r>
            <w:proofErr w:type="spellEnd"/>
            <w:r w:rsidRPr="00F11794">
              <w:rPr>
                <w:rFonts w:cs="Calibri"/>
              </w:rPr>
              <w:t xml:space="preserve"> in lastnosti klasičnih elementov pri mejnih dimenzijah. </w:t>
            </w:r>
            <w:proofErr w:type="spellStart"/>
            <w:r w:rsidR="007F2B77">
              <w:rPr>
                <w:rFonts w:cs="Calibri"/>
              </w:rPr>
              <w:t>Samosestavljanje</w:t>
            </w:r>
            <w:proofErr w:type="spellEnd"/>
            <w:r w:rsidR="007F2B77">
              <w:rPr>
                <w:rFonts w:cs="Calibri"/>
              </w:rPr>
              <w:t>. Molekularna</w:t>
            </w:r>
            <w:r w:rsidRPr="00F11794">
              <w:rPr>
                <w:rFonts w:cs="Calibri"/>
              </w:rPr>
              <w:t xml:space="preserve"> </w:t>
            </w:r>
            <w:proofErr w:type="spellStart"/>
            <w:r w:rsidRPr="00F11794">
              <w:rPr>
                <w:rFonts w:cs="Calibri"/>
              </w:rPr>
              <w:t>nanoelektronika</w:t>
            </w:r>
            <w:proofErr w:type="spellEnd"/>
            <w:r w:rsidRPr="00F11794">
              <w:rPr>
                <w:rFonts w:cs="Calibri"/>
              </w:rPr>
              <w:t xml:space="preserve">. Novi modeli stikal in pomnilnikov. Arhitektura </w:t>
            </w:r>
            <w:proofErr w:type="spellStart"/>
            <w:r w:rsidRPr="00F11794">
              <w:rPr>
                <w:rFonts w:cs="Calibri"/>
              </w:rPr>
              <w:t>nanoelektronskih</w:t>
            </w:r>
            <w:proofErr w:type="spellEnd"/>
            <w:r w:rsidRPr="00F11794">
              <w:rPr>
                <w:rFonts w:cs="Calibri"/>
              </w:rPr>
              <w:t xml:space="preserve"> vezij. Arhitektura </w:t>
            </w:r>
            <w:proofErr w:type="spellStart"/>
            <w:r w:rsidRPr="00F11794">
              <w:rPr>
                <w:rFonts w:cs="Calibri"/>
              </w:rPr>
              <w:t>nanoračunalnikov</w:t>
            </w:r>
            <w:proofErr w:type="spellEnd"/>
            <w:r w:rsidRPr="00F11794">
              <w:rPr>
                <w:rFonts w:cs="Calibri"/>
              </w:rPr>
              <w:t>. Magnetne, optične in elektronske lastno</w:t>
            </w:r>
            <w:r w:rsidR="00C24EE7">
              <w:rPr>
                <w:rFonts w:cs="Calibri"/>
              </w:rPr>
              <w:t xml:space="preserve">sti nanodelcev. </w:t>
            </w:r>
            <w:proofErr w:type="spellStart"/>
            <w:r w:rsidR="00C24EE7">
              <w:rPr>
                <w:rFonts w:cs="Calibri"/>
              </w:rPr>
              <w:t>Nanoprevodniki</w:t>
            </w:r>
            <w:proofErr w:type="spellEnd"/>
            <w:r w:rsidR="00C24EE7">
              <w:rPr>
                <w:rFonts w:cs="Calibri"/>
              </w:rPr>
              <w:t>.</w:t>
            </w:r>
          </w:p>
          <w:p w:rsidR="00907CD6" w:rsidRDefault="00F11794" w:rsidP="009C5723">
            <w:pPr>
              <w:rPr>
                <w:rFonts w:cs="Calibri"/>
              </w:rPr>
            </w:pPr>
            <w:r w:rsidRPr="00F11794">
              <w:rPr>
                <w:rFonts w:cs="Calibri"/>
              </w:rPr>
              <w:lastRenderedPageBreak/>
              <w:t xml:space="preserve">Transportne lastnosti polprevodniških </w:t>
            </w:r>
            <w:proofErr w:type="spellStart"/>
            <w:r w:rsidRPr="00F11794">
              <w:rPr>
                <w:rFonts w:cs="Calibri"/>
              </w:rPr>
              <w:t>nanostruktur</w:t>
            </w:r>
            <w:proofErr w:type="spellEnd"/>
            <w:r w:rsidRPr="00F11794">
              <w:rPr>
                <w:rFonts w:cs="Calibri"/>
              </w:rPr>
              <w:t xml:space="preserve">. </w:t>
            </w:r>
            <w:proofErr w:type="spellStart"/>
            <w:r w:rsidRPr="00F11794">
              <w:rPr>
                <w:rFonts w:cs="Calibri"/>
              </w:rPr>
              <w:t>Nanoelementi</w:t>
            </w:r>
            <w:proofErr w:type="spellEnd"/>
            <w:r w:rsidRPr="00F11794">
              <w:rPr>
                <w:rFonts w:cs="Calibri"/>
              </w:rPr>
              <w:t xml:space="preserve">. </w:t>
            </w:r>
            <w:proofErr w:type="spellStart"/>
            <w:r w:rsidRPr="00F11794">
              <w:rPr>
                <w:rFonts w:cs="Calibri"/>
              </w:rPr>
              <w:t>Enoelektronski</w:t>
            </w:r>
            <w:proofErr w:type="spellEnd"/>
            <w:r w:rsidRPr="00F11794">
              <w:rPr>
                <w:rFonts w:cs="Calibri"/>
              </w:rPr>
              <w:t xml:space="preserve"> elementi. </w:t>
            </w:r>
            <w:proofErr w:type="spellStart"/>
            <w:r w:rsidRPr="00F11794">
              <w:rPr>
                <w:rFonts w:cs="Calibri"/>
              </w:rPr>
              <w:t>Spin</w:t>
            </w:r>
            <w:r w:rsidR="00907CD6">
              <w:rPr>
                <w:rFonts w:cs="Calibri"/>
              </w:rPr>
              <w:t>tronika</w:t>
            </w:r>
            <w:proofErr w:type="spellEnd"/>
            <w:r w:rsidR="00907CD6">
              <w:rPr>
                <w:rFonts w:cs="Calibri"/>
              </w:rPr>
              <w:t>. Polimerna elektronika.</w:t>
            </w:r>
          </w:p>
          <w:p w:rsidR="00907CD6" w:rsidRDefault="00F11794" w:rsidP="009C5723">
            <w:pPr>
              <w:rPr>
                <w:rFonts w:cs="Calibri"/>
              </w:rPr>
            </w:pPr>
            <w:r w:rsidRPr="00F11794">
              <w:rPr>
                <w:rFonts w:cs="Calibri"/>
              </w:rPr>
              <w:t xml:space="preserve">Organski aktivni in pasivni elementi in vezja. </w:t>
            </w:r>
            <w:proofErr w:type="spellStart"/>
            <w:r w:rsidRPr="00F11794">
              <w:rPr>
                <w:rFonts w:cs="Calibri"/>
              </w:rPr>
              <w:t>Nanofotonika</w:t>
            </w:r>
            <w:proofErr w:type="spellEnd"/>
            <w:r w:rsidRPr="00F11794">
              <w:rPr>
                <w:rFonts w:cs="Calibri"/>
              </w:rPr>
              <w:t>. Kvantne pike in kvantne žice. O</w:t>
            </w:r>
            <w:r w:rsidR="00907CD6">
              <w:rPr>
                <w:rFonts w:cs="Calibri"/>
              </w:rPr>
              <w:t xml:space="preserve">gljikove </w:t>
            </w:r>
            <w:proofErr w:type="spellStart"/>
            <w:r w:rsidR="00907CD6">
              <w:rPr>
                <w:rFonts w:cs="Calibri"/>
              </w:rPr>
              <w:t>nanocevke</w:t>
            </w:r>
            <w:proofErr w:type="spellEnd"/>
            <w:r w:rsidR="00907CD6">
              <w:rPr>
                <w:rFonts w:cs="Calibri"/>
              </w:rPr>
              <w:t xml:space="preserve"> in </w:t>
            </w:r>
            <w:proofErr w:type="spellStart"/>
            <w:r w:rsidR="00907CD6">
              <w:rPr>
                <w:rFonts w:cs="Calibri"/>
              </w:rPr>
              <w:t>nanožice</w:t>
            </w:r>
            <w:proofErr w:type="spellEnd"/>
            <w:r w:rsidR="00907CD6">
              <w:rPr>
                <w:rFonts w:cs="Calibri"/>
              </w:rPr>
              <w:t>.</w:t>
            </w:r>
          </w:p>
          <w:p w:rsidR="009C5723" w:rsidRDefault="00F11794" w:rsidP="009C5723">
            <w:pPr>
              <w:rPr>
                <w:rFonts w:cs="Calibri"/>
              </w:rPr>
            </w:pPr>
            <w:r w:rsidRPr="00F11794">
              <w:rPr>
                <w:rFonts w:cs="Calibri"/>
              </w:rPr>
              <w:t xml:space="preserve">Zgradba in lastnosti ogljikovih </w:t>
            </w:r>
            <w:proofErr w:type="spellStart"/>
            <w:r w:rsidRPr="00F11794">
              <w:rPr>
                <w:rFonts w:cs="Calibri"/>
              </w:rPr>
              <w:t>nanocevk</w:t>
            </w:r>
            <w:proofErr w:type="spellEnd"/>
            <w:r w:rsidRPr="00F11794">
              <w:rPr>
                <w:rFonts w:cs="Calibri"/>
              </w:rPr>
              <w:t xml:space="preserve">. Elektronske, </w:t>
            </w:r>
            <w:proofErr w:type="spellStart"/>
            <w:r w:rsidRPr="00F11794">
              <w:rPr>
                <w:rFonts w:cs="Calibri"/>
              </w:rPr>
              <w:t>optoelektronske</w:t>
            </w:r>
            <w:proofErr w:type="spellEnd"/>
            <w:r w:rsidRPr="00F11794">
              <w:rPr>
                <w:rFonts w:cs="Calibri"/>
              </w:rPr>
              <w:t xml:space="preserve">, magnetne, kemijske in termoelektrične lastnosti ogljikovih </w:t>
            </w:r>
            <w:proofErr w:type="spellStart"/>
            <w:r w:rsidRPr="00F11794">
              <w:rPr>
                <w:rFonts w:cs="Calibri"/>
              </w:rPr>
              <w:t>nanocevk</w:t>
            </w:r>
            <w:proofErr w:type="spellEnd"/>
            <w:r w:rsidRPr="00F11794">
              <w:rPr>
                <w:rFonts w:cs="Calibri"/>
              </w:rPr>
              <w:t xml:space="preserve">. Elektronski elementi in vezja na osnovi </w:t>
            </w:r>
            <w:proofErr w:type="spellStart"/>
            <w:r w:rsidRPr="00F11794">
              <w:rPr>
                <w:rFonts w:cs="Calibri"/>
              </w:rPr>
              <w:t>nanocevk</w:t>
            </w:r>
            <w:proofErr w:type="spellEnd"/>
            <w:r w:rsidRPr="00F11794">
              <w:rPr>
                <w:rFonts w:cs="Calibri"/>
              </w:rPr>
              <w:t xml:space="preserve">. Kemijski in biološki </w:t>
            </w:r>
            <w:proofErr w:type="spellStart"/>
            <w:r w:rsidRPr="00F11794">
              <w:rPr>
                <w:rFonts w:cs="Calibri"/>
              </w:rPr>
              <w:t>nanosenzorji</w:t>
            </w:r>
            <w:proofErr w:type="spellEnd"/>
            <w:r w:rsidRPr="00F11794">
              <w:rPr>
                <w:rFonts w:cs="Calibri"/>
              </w:rPr>
              <w:t xml:space="preserve">. Nano in </w:t>
            </w:r>
            <w:proofErr w:type="spellStart"/>
            <w:r w:rsidRPr="00F11794">
              <w:rPr>
                <w:rFonts w:cs="Calibri"/>
              </w:rPr>
              <w:t>mikronaprave</w:t>
            </w:r>
            <w:proofErr w:type="spellEnd"/>
            <w:r w:rsidRPr="00F11794">
              <w:rPr>
                <w:rFonts w:cs="Calibri"/>
              </w:rPr>
              <w:t>. Modeliranje</w:t>
            </w:r>
            <w:r w:rsidR="000F2D1A">
              <w:rPr>
                <w:rFonts w:cs="Calibri"/>
              </w:rPr>
              <w:t xml:space="preserve"> in simulacija kvantnih in </w:t>
            </w:r>
            <w:proofErr w:type="spellStart"/>
            <w:r w:rsidR="000F2D1A">
              <w:rPr>
                <w:rFonts w:cs="Calibri"/>
              </w:rPr>
              <w:t>nano</w:t>
            </w:r>
            <w:r w:rsidRPr="00F11794">
              <w:rPr>
                <w:rFonts w:cs="Calibri"/>
              </w:rPr>
              <w:t>sistemov</w:t>
            </w:r>
            <w:proofErr w:type="spellEnd"/>
            <w:r w:rsidRPr="00F11794">
              <w:rPr>
                <w:rFonts w:cs="Calibri"/>
              </w:rPr>
              <w:t>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723" w:rsidRDefault="009C5723" w:rsidP="009C5723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77" w:rsidRPr="00087F83" w:rsidRDefault="002400A9" w:rsidP="00907CD6">
            <w:pPr>
              <w:rPr>
                <w:rFonts w:asciiTheme="minorHAnsi" w:hAnsiTheme="minorHAnsi" w:cs="Arial"/>
                <w:color w:val="000000"/>
                <w:lang w:val="en-GB"/>
              </w:rPr>
            </w:pPr>
            <w:r w:rsidRPr="00087F83">
              <w:rPr>
                <w:rFonts w:asciiTheme="minorHAnsi" w:hAnsiTheme="minorHAnsi" w:cs="Arial"/>
                <w:color w:val="000000"/>
                <w:lang w:val="en-GB"/>
              </w:rPr>
              <w:t xml:space="preserve">Definition of </w:t>
            </w:r>
            <w:proofErr w:type="spellStart"/>
            <w:r w:rsidRPr="00087F83">
              <w:rPr>
                <w:rFonts w:asciiTheme="minorHAnsi" w:hAnsiTheme="minorHAnsi" w:cs="Arial"/>
                <w:color w:val="000000"/>
                <w:lang w:val="en-GB"/>
              </w:rPr>
              <w:t>nanoelectronics</w:t>
            </w:r>
            <w:proofErr w:type="spellEnd"/>
            <w:r w:rsidRPr="00087F83">
              <w:rPr>
                <w:rFonts w:asciiTheme="minorHAnsi" w:hAnsiTheme="minorHAnsi" w:cs="Arial"/>
                <w:color w:val="000000"/>
                <w:lang w:val="en-GB"/>
              </w:rPr>
              <w:t xml:space="preserve"> and nanotechnology. An outlook of nanoscience. </w:t>
            </w:r>
            <w:r w:rsidRPr="00087F83">
              <w:rPr>
                <w:rStyle w:val="hps"/>
                <w:lang w:val="en-GB"/>
              </w:rPr>
              <w:t>Review</w:t>
            </w:r>
            <w:r w:rsidRPr="00087F83">
              <w:rPr>
                <w:rStyle w:val="shorttext"/>
                <w:lang w:val="en-GB"/>
              </w:rPr>
              <w:t xml:space="preserve"> </w:t>
            </w:r>
            <w:r w:rsidRPr="00087F83">
              <w:rPr>
                <w:rStyle w:val="hps"/>
                <w:lang w:val="en-GB"/>
              </w:rPr>
              <w:t>processes for manufacturing</w:t>
            </w:r>
            <w:r w:rsidRPr="00087F83">
              <w:rPr>
                <w:rStyle w:val="shorttext"/>
                <w:lang w:val="en-GB"/>
              </w:rPr>
              <w:t xml:space="preserve"> </w:t>
            </w:r>
            <w:r w:rsidRPr="00087F83">
              <w:rPr>
                <w:rStyle w:val="hps"/>
                <w:lang w:val="en-GB"/>
              </w:rPr>
              <w:t>nanostructures</w:t>
            </w:r>
            <w:r w:rsidRPr="00087F83">
              <w:rPr>
                <w:rStyle w:val="shorttext"/>
                <w:lang w:val="en-GB"/>
              </w:rPr>
              <w:t xml:space="preserve">. </w:t>
            </w:r>
            <w:r w:rsidRPr="00087F83">
              <w:rPr>
                <w:rStyle w:val="hps"/>
                <w:lang w:val="en-GB"/>
              </w:rPr>
              <w:t>The</w:t>
            </w:r>
            <w:r w:rsidRPr="00087F83">
              <w:rPr>
                <w:lang w:val="en-GB"/>
              </w:rPr>
              <w:t xml:space="preserve"> </w:t>
            </w:r>
            <w:r w:rsidRPr="00087F83">
              <w:rPr>
                <w:rStyle w:val="hps"/>
                <w:lang w:val="en-GB"/>
              </w:rPr>
              <w:t>top-down</w:t>
            </w:r>
            <w:r w:rsidRPr="00087F83">
              <w:rPr>
                <w:lang w:val="en-GB"/>
              </w:rPr>
              <w:t xml:space="preserve"> approach.</w:t>
            </w:r>
            <w:r w:rsidRPr="00087F83">
              <w:rPr>
                <w:rStyle w:val="hps"/>
                <w:lang w:val="en-GB"/>
              </w:rPr>
              <w:t xml:space="preserve"> The bottom-up </w:t>
            </w:r>
            <w:r w:rsidRPr="00087F83">
              <w:rPr>
                <w:lang w:val="en-GB"/>
              </w:rPr>
              <w:t xml:space="preserve">approach. </w:t>
            </w:r>
            <w:r w:rsidR="007F2B77" w:rsidRPr="00087F83">
              <w:rPr>
                <w:rFonts w:asciiTheme="minorHAnsi" w:hAnsiTheme="minorHAnsi" w:cs="Arial"/>
                <w:color w:val="000000"/>
                <w:lang w:val="en-GB"/>
              </w:rPr>
              <w:t xml:space="preserve">Device scaling and </w:t>
            </w:r>
            <w:proofErr w:type="spellStart"/>
            <w:r w:rsidR="007F2B77" w:rsidRPr="00087F83">
              <w:rPr>
                <w:rFonts w:asciiTheme="minorHAnsi" w:hAnsiTheme="minorHAnsi" w:cs="Arial"/>
                <w:color w:val="000000"/>
                <w:lang w:val="en-GB"/>
              </w:rPr>
              <w:t>nonideal</w:t>
            </w:r>
            <w:proofErr w:type="spellEnd"/>
            <w:r w:rsidR="007F2B77" w:rsidRPr="00087F83">
              <w:rPr>
                <w:rFonts w:asciiTheme="minorHAnsi" w:hAnsiTheme="minorHAnsi" w:cs="Arial"/>
                <w:color w:val="000000"/>
                <w:lang w:val="en-GB"/>
              </w:rPr>
              <w:t xml:space="preserve"> effects. Self-assembly. Molecular </w:t>
            </w:r>
            <w:proofErr w:type="spellStart"/>
            <w:r w:rsidR="007F2B77" w:rsidRPr="00087F83">
              <w:rPr>
                <w:rFonts w:asciiTheme="minorHAnsi" w:hAnsiTheme="minorHAnsi" w:cs="Arial"/>
                <w:color w:val="000000"/>
                <w:lang w:val="en-GB"/>
              </w:rPr>
              <w:t>nanoelectronics</w:t>
            </w:r>
            <w:proofErr w:type="spellEnd"/>
            <w:r w:rsidR="007F2B77" w:rsidRPr="00087F83">
              <w:rPr>
                <w:rFonts w:asciiTheme="minorHAnsi" w:hAnsiTheme="minorHAnsi" w:cs="Arial"/>
                <w:color w:val="000000"/>
                <w:lang w:val="en-GB"/>
              </w:rPr>
              <w:t xml:space="preserve">. Switches and complex molecular devices. </w:t>
            </w:r>
            <w:proofErr w:type="spellStart"/>
            <w:r w:rsidR="007F2B77" w:rsidRPr="00087F83">
              <w:rPr>
                <w:rFonts w:asciiTheme="minorHAnsi" w:hAnsiTheme="minorHAnsi" w:cs="Arial"/>
                <w:color w:val="000000"/>
                <w:lang w:val="en-GB"/>
              </w:rPr>
              <w:t>Nanoelectronic</w:t>
            </w:r>
            <w:proofErr w:type="spellEnd"/>
            <w:r w:rsidR="007F2B77" w:rsidRPr="00087F83">
              <w:rPr>
                <w:rFonts w:asciiTheme="minorHAnsi" w:hAnsiTheme="minorHAnsi" w:cs="Arial"/>
                <w:color w:val="000000"/>
                <w:lang w:val="en-GB"/>
              </w:rPr>
              <w:t xml:space="preserve"> circuit architectures. Computer architectures based on molecular electronics. Electromagnetic, optical and electronic properties of nanostructures.</w:t>
            </w:r>
          </w:p>
          <w:p w:rsidR="002400A9" w:rsidRPr="00087F83" w:rsidRDefault="007F2B77" w:rsidP="007F2B77">
            <w:pPr>
              <w:rPr>
                <w:rFonts w:asciiTheme="minorHAnsi" w:hAnsiTheme="minorHAnsi" w:cs="Arial"/>
                <w:color w:val="000000"/>
                <w:lang w:val="en-GB"/>
              </w:rPr>
            </w:pPr>
            <w:r w:rsidRPr="00087F83">
              <w:rPr>
                <w:rFonts w:asciiTheme="minorHAnsi" w:hAnsiTheme="minorHAnsi" w:cs="Arial"/>
                <w:color w:val="000000"/>
                <w:lang w:val="en-GB"/>
              </w:rPr>
              <w:t xml:space="preserve">Transport properties of semiconductor nanostructures. Single-electron transistor. </w:t>
            </w:r>
            <w:proofErr w:type="spellStart"/>
            <w:r w:rsidRPr="00087F83">
              <w:rPr>
                <w:rFonts w:asciiTheme="minorHAnsi" w:hAnsiTheme="minorHAnsi" w:cs="Arial"/>
                <w:color w:val="000000"/>
                <w:lang w:val="en-GB"/>
              </w:rPr>
              <w:t>Nanomagnetics</w:t>
            </w:r>
            <w:proofErr w:type="spellEnd"/>
            <w:r w:rsidRPr="00087F83">
              <w:rPr>
                <w:rFonts w:asciiTheme="minorHAnsi" w:hAnsiTheme="minorHAnsi" w:cs="Arial"/>
                <w:color w:val="000000"/>
                <w:lang w:val="en-GB"/>
              </w:rPr>
              <w:t xml:space="preserve"> and </w:t>
            </w:r>
            <w:proofErr w:type="spellStart"/>
            <w:r w:rsidRPr="00087F83">
              <w:rPr>
                <w:rFonts w:asciiTheme="minorHAnsi" w:hAnsiTheme="minorHAnsi" w:cs="Arial"/>
                <w:color w:val="000000"/>
                <w:lang w:val="en-GB"/>
              </w:rPr>
              <w:t>spintronics</w:t>
            </w:r>
            <w:proofErr w:type="spellEnd"/>
            <w:r w:rsidRPr="00087F83">
              <w:rPr>
                <w:rFonts w:asciiTheme="minorHAnsi" w:hAnsiTheme="minorHAnsi" w:cs="Arial"/>
                <w:color w:val="000000"/>
                <w:lang w:val="en-GB"/>
              </w:rPr>
              <w:t xml:space="preserve">. Polymer </w:t>
            </w:r>
            <w:r w:rsidRPr="00087F83">
              <w:rPr>
                <w:rFonts w:asciiTheme="minorHAnsi" w:hAnsiTheme="minorHAnsi" w:cs="Arial"/>
                <w:color w:val="000000"/>
                <w:lang w:val="en-GB"/>
              </w:rPr>
              <w:lastRenderedPageBreak/>
              <w:t xml:space="preserve">electronics. Organic active and passive devices and circuits. </w:t>
            </w:r>
            <w:proofErr w:type="spellStart"/>
            <w:r w:rsidRPr="00087F83">
              <w:rPr>
                <w:rFonts w:asciiTheme="minorHAnsi" w:hAnsiTheme="minorHAnsi" w:cs="Arial"/>
                <w:color w:val="000000"/>
                <w:lang w:val="en-GB"/>
              </w:rPr>
              <w:t>Nanophotonics</w:t>
            </w:r>
            <w:proofErr w:type="spellEnd"/>
            <w:r w:rsidRPr="00087F83">
              <w:rPr>
                <w:rFonts w:asciiTheme="minorHAnsi" w:hAnsiTheme="minorHAnsi" w:cs="Arial"/>
                <w:color w:val="000000"/>
                <w:lang w:val="en-GB"/>
              </w:rPr>
              <w:t xml:space="preserve">. Quantum dots, quantum wells and quantum wires. Carbon nanotubes and nanowires. Structure and properties of carbon nanotubes. Electronic, optoelectronic, magnetic, chemical and </w:t>
            </w:r>
            <w:proofErr w:type="spellStart"/>
            <w:r w:rsidRPr="00087F83">
              <w:rPr>
                <w:rFonts w:asciiTheme="minorHAnsi" w:hAnsiTheme="minorHAnsi" w:cs="Arial"/>
                <w:color w:val="000000"/>
                <w:lang w:val="en-GB"/>
              </w:rPr>
              <w:t>thermoelectrical</w:t>
            </w:r>
            <w:proofErr w:type="spellEnd"/>
            <w:r w:rsidRPr="00087F83">
              <w:rPr>
                <w:rFonts w:asciiTheme="minorHAnsi" w:hAnsiTheme="minorHAnsi" w:cs="Arial"/>
                <w:color w:val="000000"/>
                <w:lang w:val="en-GB"/>
              </w:rPr>
              <w:t xml:space="preserve"> properties of carbon nanotubes. Electronic devices and circuits based on nanotubes.</w:t>
            </w:r>
            <w:r w:rsidR="000F2D1A" w:rsidRPr="00087F83">
              <w:rPr>
                <w:rFonts w:asciiTheme="minorHAnsi" w:hAnsiTheme="minorHAnsi" w:cs="Arial"/>
                <w:color w:val="000000"/>
                <w:lang w:val="en-GB"/>
              </w:rPr>
              <w:t xml:space="preserve"> </w:t>
            </w:r>
            <w:r w:rsidR="002400A9" w:rsidRPr="00087F83">
              <w:rPr>
                <w:rFonts w:asciiTheme="minorHAnsi" w:hAnsiTheme="minorHAnsi" w:cs="Arial"/>
                <w:color w:val="000000"/>
                <w:lang w:val="en-GB"/>
              </w:rPr>
              <w:t xml:space="preserve">Chemical and biological </w:t>
            </w:r>
            <w:proofErr w:type="spellStart"/>
            <w:r w:rsidR="002400A9" w:rsidRPr="00087F83">
              <w:rPr>
                <w:rFonts w:asciiTheme="minorHAnsi" w:hAnsiTheme="minorHAnsi" w:cs="Arial"/>
                <w:color w:val="000000"/>
                <w:lang w:val="en-GB"/>
              </w:rPr>
              <w:t>nanosensors</w:t>
            </w:r>
            <w:proofErr w:type="spellEnd"/>
            <w:r w:rsidR="002400A9" w:rsidRPr="00087F83">
              <w:rPr>
                <w:rFonts w:asciiTheme="minorHAnsi" w:hAnsiTheme="minorHAnsi" w:cs="Arial"/>
                <w:color w:val="000000"/>
                <w:lang w:val="en-GB"/>
              </w:rPr>
              <w:t xml:space="preserve">. Nano- and </w:t>
            </w:r>
            <w:proofErr w:type="spellStart"/>
            <w:r w:rsidR="002400A9" w:rsidRPr="00087F83">
              <w:rPr>
                <w:rFonts w:asciiTheme="minorHAnsi" w:hAnsiTheme="minorHAnsi" w:cs="Arial"/>
                <w:color w:val="000000"/>
                <w:lang w:val="en-GB"/>
              </w:rPr>
              <w:t>micromachines</w:t>
            </w:r>
            <w:proofErr w:type="spellEnd"/>
            <w:r w:rsidR="002400A9" w:rsidRPr="00087F83">
              <w:rPr>
                <w:rFonts w:asciiTheme="minorHAnsi" w:hAnsiTheme="minorHAnsi" w:cs="Arial"/>
                <w:color w:val="000000"/>
                <w:lang w:val="en-GB"/>
              </w:rPr>
              <w:t xml:space="preserve">. </w:t>
            </w:r>
            <w:proofErr w:type="spellStart"/>
            <w:r w:rsidR="002400A9" w:rsidRPr="00087F83">
              <w:rPr>
                <w:rFonts w:asciiTheme="minorHAnsi" w:hAnsiTheme="minorHAnsi" w:cs="Arial"/>
                <w:color w:val="000000"/>
                <w:lang w:val="en-GB"/>
              </w:rPr>
              <w:t>Modeling</w:t>
            </w:r>
            <w:proofErr w:type="spellEnd"/>
            <w:r w:rsidR="002400A9" w:rsidRPr="00087F83">
              <w:rPr>
                <w:rFonts w:asciiTheme="minorHAnsi" w:hAnsiTheme="minorHAnsi" w:cs="Arial"/>
                <w:color w:val="000000"/>
                <w:lang w:val="en-GB"/>
              </w:rPr>
              <w:t xml:space="preserve"> and simulation of quantum- and </w:t>
            </w:r>
            <w:proofErr w:type="spellStart"/>
            <w:r w:rsidR="002400A9" w:rsidRPr="00087F83">
              <w:rPr>
                <w:rFonts w:asciiTheme="minorHAnsi" w:hAnsiTheme="minorHAnsi" w:cs="Arial"/>
                <w:color w:val="000000"/>
                <w:lang w:val="en-GB"/>
              </w:rPr>
              <w:t>nanosystems</w:t>
            </w:r>
            <w:proofErr w:type="spellEnd"/>
            <w:r w:rsidR="002400A9" w:rsidRPr="00087F83">
              <w:rPr>
                <w:rFonts w:asciiTheme="minorHAnsi" w:hAnsiTheme="minorHAnsi" w:cs="Arial"/>
                <w:color w:val="000000"/>
                <w:lang w:val="en-GB"/>
              </w:rPr>
              <w:t>.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717"/>
        <w:gridCol w:w="10"/>
        <w:gridCol w:w="142"/>
        <w:gridCol w:w="4821"/>
      </w:tblGrid>
      <w:tr w:rsidR="00D60066" w:rsidTr="0097773B">
        <w:tc>
          <w:tcPr>
            <w:tcW w:w="9690" w:type="dxa"/>
            <w:gridSpan w:val="4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97773B">
        <w:trPr>
          <w:trHeight w:val="2074"/>
        </w:trPr>
        <w:tc>
          <w:tcPr>
            <w:tcW w:w="9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C7" w:rsidRPr="00087F83" w:rsidRDefault="00C67BC7" w:rsidP="00087F8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</w:rPr>
            </w:pPr>
            <w:bookmarkStart w:id="5" w:name="Ucbeniki"/>
            <w:bookmarkEnd w:id="5"/>
            <w:r w:rsidRPr="00087F83">
              <w:rPr>
                <w:rFonts w:asciiTheme="minorHAnsi" w:hAnsiTheme="minorHAnsi" w:cs="Arial"/>
              </w:rPr>
              <w:t xml:space="preserve">William A. </w:t>
            </w:r>
            <w:proofErr w:type="spellStart"/>
            <w:r w:rsidRPr="00087F83">
              <w:rPr>
                <w:rFonts w:asciiTheme="minorHAnsi" w:hAnsiTheme="minorHAnsi" w:cs="Arial"/>
              </w:rPr>
              <w:t>Goddard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, Donald W. </w:t>
            </w:r>
            <w:proofErr w:type="spellStart"/>
            <w:r w:rsidRPr="00087F83">
              <w:rPr>
                <w:rFonts w:asciiTheme="minorHAnsi" w:hAnsiTheme="minorHAnsi" w:cs="Arial"/>
              </w:rPr>
              <w:t>Brenner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087F83">
              <w:rPr>
                <w:rFonts w:asciiTheme="minorHAnsi" w:hAnsiTheme="minorHAnsi" w:cs="Arial"/>
              </w:rPr>
              <w:t>Sergey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 Edward </w:t>
            </w:r>
            <w:proofErr w:type="spellStart"/>
            <w:r w:rsidRPr="00087F83">
              <w:rPr>
                <w:rFonts w:asciiTheme="minorHAnsi" w:hAnsiTheme="minorHAnsi" w:cs="Arial"/>
              </w:rPr>
              <w:t>Lyshevski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, Gerald J. </w:t>
            </w:r>
            <w:proofErr w:type="spellStart"/>
            <w:r w:rsidRPr="00087F83">
              <w:rPr>
                <w:rFonts w:asciiTheme="minorHAnsi" w:hAnsiTheme="minorHAnsi" w:cs="Arial"/>
              </w:rPr>
              <w:t>Iafrate</w:t>
            </w:r>
            <w:proofErr w:type="spellEnd"/>
            <w:r w:rsidRPr="00087F83">
              <w:rPr>
                <w:rFonts w:asciiTheme="minorHAnsi" w:hAnsiTheme="minorHAnsi" w:cs="Arial"/>
              </w:rPr>
              <w:t>,</w:t>
            </w:r>
            <w:r w:rsidR="0055790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087F83">
              <w:rPr>
                <w:rFonts w:asciiTheme="minorHAnsi" w:hAnsiTheme="minorHAnsi" w:cs="Arial"/>
              </w:rPr>
              <w:t>Nanoscience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, Engineering, and </w:t>
            </w:r>
            <w:proofErr w:type="spellStart"/>
            <w:r w:rsidRPr="00087F83">
              <w:rPr>
                <w:rFonts w:asciiTheme="minorHAnsi" w:hAnsiTheme="minorHAnsi" w:cs="Arial"/>
              </w:rPr>
              <w:t>Technology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, CRC </w:t>
            </w:r>
            <w:proofErr w:type="spellStart"/>
            <w:r w:rsidRPr="00087F83">
              <w:rPr>
                <w:rFonts w:asciiTheme="minorHAnsi" w:hAnsiTheme="minorHAnsi" w:cs="Arial"/>
              </w:rPr>
              <w:t>Press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 LLC, 2012.</w:t>
            </w:r>
          </w:p>
          <w:p w:rsidR="00C67BC7" w:rsidRPr="00087F83" w:rsidRDefault="00C67BC7" w:rsidP="00087F8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</w:rPr>
            </w:pPr>
            <w:r w:rsidRPr="00087F83">
              <w:rPr>
                <w:rFonts w:asciiTheme="minorHAnsi" w:hAnsiTheme="minorHAnsi" w:cs="Arial"/>
              </w:rPr>
              <w:t xml:space="preserve">Paul Harrison, </w:t>
            </w:r>
            <w:proofErr w:type="spellStart"/>
            <w:r w:rsidRPr="00087F83">
              <w:rPr>
                <w:rFonts w:asciiTheme="minorHAnsi" w:hAnsiTheme="minorHAnsi" w:cs="Arial"/>
              </w:rPr>
              <w:t>Quantum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 Wells, </w:t>
            </w:r>
            <w:proofErr w:type="spellStart"/>
            <w:r w:rsidRPr="00087F83">
              <w:rPr>
                <w:rFonts w:asciiTheme="minorHAnsi" w:hAnsiTheme="minorHAnsi" w:cs="Arial"/>
              </w:rPr>
              <w:t>Wires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 and </w:t>
            </w:r>
            <w:proofErr w:type="spellStart"/>
            <w:r w:rsidRPr="00087F83">
              <w:rPr>
                <w:rFonts w:asciiTheme="minorHAnsi" w:hAnsiTheme="minorHAnsi" w:cs="Arial"/>
              </w:rPr>
              <w:t>Dots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087F83">
              <w:rPr>
                <w:rFonts w:asciiTheme="minorHAnsi" w:hAnsiTheme="minorHAnsi" w:cs="Arial"/>
              </w:rPr>
              <w:t>Theoretical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 and </w:t>
            </w:r>
            <w:proofErr w:type="spellStart"/>
            <w:r w:rsidRPr="00087F83">
              <w:rPr>
                <w:rFonts w:asciiTheme="minorHAnsi" w:hAnsiTheme="minorHAnsi" w:cs="Arial"/>
              </w:rPr>
              <w:t>Computational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087F83">
              <w:rPr>
                <w:rFonts w:asciiTheme="minorHAnsi" w:hAnsiTheme="minorHAnsi" w:cs="Arial"/>
              </w:rPr>
              <w:t>Physics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087F83">
              <w:rPr>
                <w:rFonts w:asciiTheme="minorHAnsi" w:hAnsiTheme="minorHAnsi" w:cs="Arial"/>
              </w:rPr>
              <w:t>of</w:t>
            </w:r>
            <w:proofErr w:type="spellEnd"/>
            <w:r w:rsidR="0055790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087F83">
              <w:rPr>
                <w:rFonts w:asciiTheme="minorHAnsi" w:hAnsiTheme="minorHAnsi" w:cs="Arial"/>
              </w:rPr>
              <w:t>Semiconductor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087F83">
              <w:rPr>
                <w:rFonts w:asciiTheme="minorHAnsi" w:hAnsiTheme="minorHAnsi" w:cs="Arial"/>
              </w:rPr>
              <w:t>Nanostructures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, John </w:t>
            </w:r>
            <w:proofErr w:type="spellStart"/>
            <w:r w:rsidRPr="00087F83">
              <w:rPr>
                <w:rFonts w:asciiTheme="minorHAnsi" w:hAnsiTheme="minorHAnsi" w:cs="Arial"/>
              </w:rPr>
              <w:t>Wiley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 &amp; </w:t>
            </w:r>
            <w:proofErr w:type="spellStart"/>
            <w:r w:rsidRPr="00087F83">
              <w:rPr>
                <w:rFonts w:asciiTheme="minorHAnsi" w:hAnsiTheme="minorHAnsi" w:cs="Arial"/>
              </w:rPr>
              <w:t>Sons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087F83">
              <w:rPr>
                <w:rFonts w:asciiTheme="minorHAnsi" w:hAnsiTheme="minorHAnsi" w:cs="Arial"/>
              </w:rPr>
              <w:t>Ltd</w:t>
            </w:r>
            <w:proofErr w:type="spellEnd"/>
            <w:r w:rsidRPr="00087F83">
              <w:rPr>
                <w:rFonts w:asciiTheme="minorHAnsi" w:hAnsiTheme="minorHAnsi" w:cs="Arial"/>
              </w:rPr>
              <w:t>, 2009.</w:t>
            </w:r>
          </w:p>
          <w:p w:rsidR="00C67BC7" w:rsidRPr="00087F83" w:rsidRDefault="00C67BC7" w:rsidP="00087F8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</w:rPr>
            </w:pPr>
            <w:r w:rsidRPr="00087F83">
              <w:rPr>
                <w:rFonts w:asciiTheme="minorHAnsi" w:hAnsiTheme="minorHAnsi" w:cs="Arial"/>
              </w:rPr>
              <w:t xml:space="preserve">Edward L. Wolf, </w:t>
            </w:r>
            <w:proofErr w:type="spellStart"/>
            <w:r w:rsidRPr="00087F83">
              <w:rPr>
                <w:rFonts w:asciiTheme="minorHAnsi" w:hAnsiTheme="minorHAnsi" w:cs="Arial"/>
              </w:rPr>
              <w:t>Nanophysics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 and </w:t>
            </w:r>
            <w:proofErr w:type="spellStart"/>
            <w:r w:rsidRPr="00087F83">
              <w:rPr>
                <w:rFonts w:asciiTheme="minorHAnsi" w:hAnsiTheme="minorHAnsi" w:cs="Arial"/>
              </w:rPr>
              <w:t>Nanotechnology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087F83">
              <w:rPr>
                <w:rFonts w:asciiTheme="minorHAnsi" w:hAnsiTheme="minorHAnsi" w:cs="Arial"/>
              </w:rPr>
              <w:t>Wiley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-VCH </w:t>
            </w:r>
            <w:proofErr w:type="spellStart"/>
            <w:r w:rsidRPr="00087F83">
              <w:rPr>
                <w:rFonts w:asciiTheme="minorHAnsi" w:hAnsiTheme="minorHAnsi" w:cs="Arial"/>
              </w:rPr>
              <w:t>Verlag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087F83">
              <w:rPr>
                <w:rFonts w:asciiTheme="minorHAnsi" w:hAnsiTheme="minorHAnsi" w:cs="Arial"/>
              </w:rPr>
              <w:t>GmbH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 &amp; Co. </w:t>
            </w:r>
            <w:proofErr w:type="spellStart"/>
            <w:r w:rsidRPr="00087F83">
              <w:rPr>
                <w:rFonts w:asciiTheme="minorHAnsi" w:hAnsiTheme="minorHAnsi" w:cs="Arial"/>
              </w:rPr>
              <w:t>KGaA</w:t>
            </w:r>
            <w:proofErr w:type="spellEnd"/>
            <w:r w:rsidRPr="00087F83">
              <w:rPr>
                <w:rFonts w:asciiTheme="minorHAnsi" w:hAnsiTheme="minorHAnsi" w:cs="Arial"/>
              </w:rPr>
              <w:t>, 2008.</w:t>
            </w:r>
          </w:p>
          <w:p w:rsidR="00C67BC7" w:rsidRPr="00087F83" w:rsidRDefault="00C67BC7" w:rsidP="00087F8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Theme="minorHAnsi" w:hAnsiTheme="minorHAnsi" w:cs="Arial"/>
              </w:rPr>
            </w:pPr>
            <w:r w:rsidRPr="00087F83">
              <w:rPr>
                <w:rFonts w:asciiTheme="minorHAnsi" w:hAnsiTheme="minorHAnsi" w:cs="Arial"/>
              </w:rPr>
              <w:t xml:space="preserve">M. </w:t>
            </w:r>
            <w:proofErr w:type="spellStart"/>
            <w:r w:rsidRPr="00087F83">
              <w:rPr>
                <w:rFonts w:asciiTheme="minorHAnsi" w:hAnsiTheme="minorHAnsi" w:cs="Arial"/>
              </w:rPr>
              <w:t>Meyyappan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087F83">
              <w:rPr>
                <w:rFonts w:asciiTheme="minorHAnsi" w:hAnsiTheme="minorHAnsi" w:cs="Arial"/>
              </w:rPr>
              <w:t>Carbon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087F83">
              <w:rPr>
                <w:rFonts w:asciiTheme="minorHAnsi" w:hAnsiTheme="minorHAnsi" w:cs="Arial"/>
              </w:rPr>
              <w:t>Nanotubes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, Science and </w:t>
            </w:r>
            <w:proofErr w:type="spellStart"/>
            <w:r w:rsidRPr="00087F83">
              <w:rPr>
                <w:rFonts w:asciiTheme="minorHAnsi" w:hAnsiTheme="minorHAnsi" w:cs="Arial"/>
              </w:rPr>
              <w:t>Applications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, CRC </w:t>
            </w:r>
            <w:proofErr w:type="spellStart"/>
            <w:r w:rsidRPr="00087F83">
              <w:rPr>
                <w:rFonts w:asciiTheme="minorHAnsi" w:hAnsiTheme="minorHAnsi" w:cs="Arial"/>
              </w:rPr>
              <w:t>Press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 LLC, 2005.</w:t>
            </w:r>
          </w:p>
          <w:p w:rsidR="00C67BC7" w:rsidRPr="00087F83" w:rsidRDefault="00C67BC7" w:rsidP="00087F83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inorHAnsi" w:hAnsiTheme="minorHAnsi" w:cs="Arial"/>
              </w:rPr>
            </w:pPr>
            <w:r w:rsidRPr="00087F83">
              <w:rPr>
                <w:rFonts w:asciiTheme="minorHAnsi" w:hAnsiTheme="minorHAnsi" w:cs="Arial"/>
              </w:rPr>
              <w:t xml:space="preserve">George W. </w:t>
            </w:r>
            <w:proofErr w:type="spellStart"/>
            <w:r w:rsidRPr="00087F83">
              <w:rPr>
                <w:rFonts w:asciiTheme="minorHAnsi" w:hAnsiTheme="minorHAnsi" w:cs="Arial"/>
              </w:rPr>
              <w:t>Hanson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, Fundamentals </w:t>
            </w:r>
            <w:proofErr w:type="spellStart"/>
            <w:r w:rsidRPr="00087F83">
              <w:rPr>
                <w:rFonts w:asciiTheme="minorHAnsi" w:hAnsiTheme="minorHAnsi" w:cs="Arial"/>
              </w:rPr>
              <w:t>of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  </w:t>
            </w:r>
            <w:proofErr w:type="spellStart"/>
            <w:r w:rsidRPr="00087F83">
              <w:rPr>
                <w:rFonts w:asciiTheme="minorHAnsi" w:hAnsiTheme="minorHAnsi" w:cs="Arial"/>
              </w:rPr>
              <w:t>Nanoelectronics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087F83">
              <w:rPr>
                <w:rFonts w:asciiTheme="minorHAnsi" w:hAnsiTheme="minorHAnsi" w:cs="Arial"/>
              </w:rPr>
              <w:t>Pearson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087F83">
              <w:rPr>
                <w:rFonts w:asciiTheme="minorHAnsi" w:hAnsiTheme="minorHAnsi" w:cs="Arial"/>
              </w:rPr>
              <w:t>Prentice</w:t>
            </w:r>
            <w:proofErr w:type="spellEnd"/>
            <w:r w:rsidRPr="00087F83">
              <w:rPr>
                <w:rFonts w:asciiTheme="minorHAnsi" w:hAnsiTheme="minorHAnsi" w:cs="Arial"/>
              </w:rPr>
              <w:t xml:space="preserve"> Hall, 2008.</w:t>
            </w:r>
          </w:p>
          <w:p w:rsidR="00D60066" w:rsidRPr="00087F83" w:rsidRDefault="00F11794" w:rsidP="00087F83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="Calibri"/>
                <w:bCs/>
              </w:rPr>
            </w:pPr>
            <w:r w:rsidRPr="00087F83">
              <w:rPr>
                <w:rFonts w:cs="Calibri"/>
                <w:bCs/>
              </w:rPr>
              <w:t xml:space="preserve">F. Smole, </w:t>
            </w:r>
            <w:proofErr w:type="spellStart"/>
            <w:r w:rsidRPr="00087F83">
              <w:rPr>
                <w:rFonts w:cs="Calibri"/>
                <w:bCs/>
              </w:rPr>
              <w:t>Nan</w:t>
            </w:r>
            <w:r w:rsidR="00C67BC7" w:rsidRPr="00087F83">
              <w:rPr>
                <w:rFonts w:cs="Calibri"/>
                <w:bCs/>
              </w:rPr>
              <w:t>oelektronika</w:t>
            </w:r>
            <w:proofErr w:type="spellEnd"/>
            <w:r w:rsidR="00C67BC7" w:rsidRPr="00087F83">
              <w:rPr>
                <w:rFonts w:cs="Calibri"/>
                <w:bCs/>
              </w:rPr>
              <w:t>, Založba FE in FRI, 2014, 355 str., ISBN 978-961-243-250-8</w:t>
            </w:r>
            <w:r w:rsidRPr="00087F83">
              <w:rPr>
                <w:rFonts w:cs="Calibri"/>
                <w:bCs/>
              </w:rPr>
              <w:t>.</w:t>
            </w:r>
          </w:p>
        </w:tc>
      </w:tr>
      <w:tr w:rsidR="00D60066" w:rsidTr="0097773B">
        <w:trPr>
          <w:trHeight w:val="73"/>
        </w:trPr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73B" w:rsidRDefault="0097773B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73B" w:rsidRDefault="0097773B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97773B">
        <w:trPr>
          <w:trHeight w:val="487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F11794" w:rsidP="000B2261">
            <w:pPr>
              <w:rPr>
                <w:rFonts w:cs="Calibri"/>
              </w:rPr>
            </w:pPr>
            <w:r w:rsidRPr="00F11794">
              <w:rPr>
                <w:rFonts w:cs="Calibri"/>
              </w:rPr>
              <w:t>Cilj predmeta je usvojiti osnovne definicije in k</w:t>
            </w:r>
            <w:r w:rsidR="00C67BC7">
              <w:rPr>
                <w:rFonts w:cs="Calibri"/>
              </w:rPr>
              <w:t>oncepte, se seznaniti s smermi razvoja in</w:t>
            </w:r>
            <w:r w:rsidRPr="00F11794">
              <w:rPr>
                <w:rFonts w:cs="Calibri"/>
              </w:rPr>
              <w:t xml:space="preserve"> raziskav na področju </w:t>
            </w:r>
            <w:proofErr w:type="spellStart"/>
            <w:r w:rsidR="00C67BC7">
              <w:rPr>
                <w:rFonts w:cs="Calibri"/>
              </w:rPr>
              <w:t>nanoelektronike</w:t>
            </w:r>
            <w:proofErr w:type="spellEnd"/>
            <w:r w:rsidR="00C67BC7">
              <w:rPr>
                <w:rFonts w:cs="Calibri"/>
              </w:rPr>
              <w:t xml:space="preserve"> ter spoznati</w:t>
            </w:r>
            <w:r w:rsidRPr="00F11794">
              <w:rPr>
                <w:rFonts w:cs="Calibri"/>
              </w:rPr>
              <w:t xml:space="preserve"> karakteristike že raziskanih struktur, elementov in sistemov.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763E5E" w:rsidRDefault="00C67BC7" w:rsidP="00A54BB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lang w:val="en-GB"/>
              </w:rPr>
            </w:pPr>
            <w:r w:rsidRPr="00763E5E">
              <w:rPr>
                <w:rFonts w:asciiTheme="minorHAnsi" w:hAnsiTheme="minorHAnsi" w:cs="Arial"/>
                <w:lang w:val="en-GB"/>
              </w:rPr>
              <w:t xml:space="preserve">The aim of the course is to upgrade definitions and concepts and to introduce students with research trends in the field of </w:t>
            </w:r>
            <w:proofErr w:type="spellStart"/>
            <w:r w:rsidRPr="00763E5E">
              <w:rPr>
                <w:rFonts w:asciiTheme="minorHAnsi" w:hAnsiTheme="minorHAnsi" w:cs="Arial"/>
                <w:lang w:val="en-GB"/>
              </w:rPr>
              <w:t>nanoelectronics</w:t>
            </w:r>
            <w:proofErr w:type="spellEnd"/>
            <w:r w:rsidRPr="00763E5E">
              <w:rPr>
                <w:rFonts w:asciiTheme="minorHAnsi" w:hAnsiTheme="minorHAnsi" w:cs="Arial"/>
                <w:lang w:val="en-GB"/>
              </w:rPr>
              <w:t xml:space="preserve"> and to survey characteristics of already investigated structures, devices and systems.</w:t>
            </w:r>
          </w:p>
        </w:tc>
      </w:tr>
      <w:tr w:rsidR="00D60066" w:rsidTr="0097773B">
        <w:trPr>
          <w:trHeight w:val="117"/>
        </w:trPr>
        <w:tc>
          <w:tcPr>
            <w:tcW w:w="47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Tr="0097773B">
        <w:trPr>
          <w:trHeight w:val="1387"/>
        </w:trPr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72078" w:rsidRDefault="00C67BC7" w:rsidP="006432C5">
            <w:pPr>
              <w:rPr>
                <w:rFonts w:cs="Calibri"/>
              </w:rPr>
            </w:pPr>
            <w:r>
              <w:t xml:space="preserve">Študent bo usvojil temeljna znanja s </w:t>
            </w:r>
            <w:proofErr w:type="spellStart"/>
            <w:r>
              <w:t>hitrorazvijajočega</w:t>
            </w:r>
            <w:proofErr w:type="spellEnd"/>
            <w:r>
              <w:t xml:space="preserve"> se področja </w:t>
            </w:r>
            <w:proofErr w:type="spellStart"/>
            <w:r>
              <w:t>nanoelektronike</w:t>
            </w:r>
            <w:proofErr w:type="spellEnd"/>
            <w:r>
              <w:t xml:space="preserve"> in nanotehnologij. Razumel bo osnovne koncepte </w:t>
            </w:r>
            <w:proofErr w:type="spellStart"/>
            <w:r>
              <w:t>nanoelektronike</w:t>
            </w:r>
            <w:proofErr w:type="spellEnd"/>
            <w:r>
              <w:t xml:space="preserve">, vključno z </w:t>
            </w:r>
            <w:proofErr w:type="spellStart"/>
            <w:r>
              <w:t>enoelektronskimi</w:t>
            </w:r>
            <w:proofErr w:type="spellEnd"/>
            <w:r>
              <w:t xml:space="preserve"> pojavi in elektronskim transportom v </w:t>
            </w:r>
            <w:proofErr w:type="spellStart"/>
            <w:r>
              <w:t>nanoskopskih</w:t>
            </w:r>
            <w:proofErr w:type="spellEnd"/>
            <w:r>
              <w:t xml:space="preserve"> sistemih. Razumel bo kvantne jame, pike, in žice ter njihove </w:t>
            </w:r>
            <w:proofErr w:type="spellStart"/>
            <w:r>
              <w:t>nanoelektronske</w:t>
            </w:r>
            <w:proofErr w:type="spellEnd"/>
            <w:r>
              <w:t xml:space="preserve"> aplikacije.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F3" w:rsidRPr="00087F83" w:rsidRDefault="00C67BC7" w:rsidP="006432C5">
            <w:pPr>
              <w:rPr>
                <w:rFonts w:cs="Calibri"/>
                <w:lang w:val="en-GB"/>
              </w:rPr>
            </w:pPr>
            <w:r w:rsidRPr="00087F83">
              <w:rPr>
                <w:lang w:val="en-GB"/>
              </w:rPr>
              <w:t xml:space="preserve">Student will acquire knowledge from rapidly developing field of </w:t>
            </w:r>
            <w:proofErr w:type="spellStart"/>
            <w:r w:rsidRPr="00087F83">
              <w:rPr>
                <w:lang w:val="en-GB"/>
              </w:rPr>
              <w:t>nanoelectronics</w:t>
            </w:r>
            <w:proofErr w:type="spellEnd"/>
            <w:r w:rsidRPr="00087F83">
              <w:rPr>
                <w:lang w:val="en-GB"/>
              </w:rPr>
              <w:t xml:space="preserve"> and nanotechnologies through gained ability to understand the concepts of </w:t>
            </w:r>
            <w:proofErr w:type="spellStart"/>
            <w:r w:rsidRPr="00087F83">
              <w:rPr>
                <w:lang w:val="en-GB"/>
              </w:rPr>
              <w:t>nanoelectronics</w:t>
            </w:r>
            <w:proofErr w:type="spellEnd"/>
            <w:r w:rsidRPr="00087F83">
              <w:rPr>
                <w:lang w:val="en-GB"/>
              </w:rPr>
              <w:t xml:space="preserve">, including one-electron </w:t>
            </w:r>
            <w:proofErr w:type="spellStart"/>
            <w:r w:rsidRPr="00087F83">
              <w:rPr>
                <w:lang w:val="en-GB"/>
              </w:rPr>
              <w:t>phenomenons</w:t>
            </w:r>
            <w:proofErr w:type="spellEnd"/>
            <w:r w:rsidRPr="00087F83">
              <w:rPr>
                <w:lang w:val="en-GB"/>
              </w:rPr>
              <w:t xml:space="preserve"> and electronic transport in </w:t>
            </w:r>
            <w:proofErr w:type="spellStart"/>
            <w:r w:rsidRPr="00087F83">
              <w:rPr>
                <w:lang w:val="en-GB"/>
              </w:rPr>
              <w:t>nanoscopic</w:t>
            </w:r>
            <w:proofErr w:type="spellEnd"/>
            <w:r w:rsidRPr="00087F83">
              <w:rPr>
                <w:lang w:val="en-GB"/>
              </w:rPr>
              <w:t xml:space="preserve"> systems. In addition, the </w:t>
            </w:r>
            <w:proofErr w:type="spellStart"/>
            <w:r w:rsidRPr="00087F83">
              <w:rPr>
                <w:lang w:val="en-GB"/>
              </w:rPr>
              <w:t>nanoelectronic</w:t>
            </w:r>
            <w:proofErr w:type="spellEnd"/>
            <w:r w:rsidRPr="00087F83">
              <w:rPr>
                <w:lang w:val="en-GB"/>
              </w:rPr>
              <w:t xml:space="preserve"> applications of quantum wells, dots and wires will be explained.</w:t>
            </w:r>
          </w:p>
        </w:tc>
      </w:tr>
    </w:tbl>
    <w:p w:rsidR="0097773B" w:rsidRDefault="0097773B">
      <w:r>
        <w:br w:type="page"/>
      </w:r>
    </w:p>
    <w:tbl>
      <w:tblPr>
        <w:tblW w:w="9781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"/>
        <w:gridCol w:w="4071"/>
        <w:gridCol w:w="803"/>
        <w:gridCol w:w="142"/>
        <w:gridCol w:w="756"/>
        <w:gridCol w:w="3878"/>
        <w:gridCol w:w="91"/>
      </w:tblGrid>
      <w:tr w:rsidR="0097773B" w:rsidRPr="00567D4C" w:rsidTr="0097773B">
        <w:trPr>
          <w:gridBefore w:val="1"/>
          <w:wBefore w:w="40" w:type="dxa"/>
        </w:trPr>
        <w:tc>
          <w:tcPr>
            <w:tcW w:w="487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7773B" w:rsidRPr="00567D4C" w:rsidRDefault="0097773B" w:rsidP="00C97880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lastRenderedPageBreak/>
              <w:t>Metode poučevanja in učenja:</w:t>
            </w:r>
          </w:p>
        </w:tc>
        <w:tc>
          <w:tcPr>
            <w:tcW w:w="142" w:type="dxa"/>
          </w:tcPr>
          <w:p w:rsidR="0097773B" w:rsidRPr="00567D4C" w:rsidRDefault="0097773B" w:rsidP="00C97880">
            <w:pPr>
              <w:rPr>
                <w:rFonts w:cs="Calibri"/>
                <w:b/>
              </w:rPr>
            </w:pPr>
          </w:p>
        </w:tc>
        <w:tc>
          <w:tcPr>
            <w:tcW w:w="472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7773B" w:rsidRPr="00567D4C" w:rsidRDefault="0097773B" w:rsidP="00C97880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Learning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 w:rsidRPr="00567D4C">
              <w:rPr>
                <w:rFonts w:cs="Calibri"/>
                <w:b/>
                <w:szCs w:val="22"/>
              </w:rPr>
              <w:t>teaching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methods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97773B" w:rsidRPr="00567D4C" w:rsidTr="0097773B">
        <w:trPr>
          <w:gridBefore w:val="1"/>
          <w:wBefore w:w="40" w:type="dxa"/>
          <w:trHeight w:val="273"/>
        </w:trPr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3B" w:rsidRPr="00AA31F0" w:rsidRDefault="0097773B" w:rsidP="00C97880">
            <w:r>
              <w:t>predavanja</w:t>
            </w:r>
            <w:r w:rsidRPr="00B57497">
              <w:t>, laboratorijske vaje</w:t>
            </w:r>
          </w:p>
        </w:tc>
        <w:tc>
          <w:tcPr>
            <w:tcW w:w="14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7773B" w:rsidRPr="00567D4C" w:rsidRDefault="0097773B" w:rsidP="00C97880">
            <w:pPr>
              <w:rPr>
                <w:rFonts w:cs="Calibri"/>
              </w:rPr>
            </w:pPr>
          </w:p>
        </w:tc>
        <w:tc>
          <w:tcPr>
            <w:tcW w:w="4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3B" w:rsidRPr="00567D4C" w:rsidRDefault="0097773B" w:rsidP="00C97880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lectures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laboratory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assignments</w:t>
            </w:r>
            <w:proofErr w:type="spellEnd"/>
          </w:p>
        </w:tc>
      </w:tr>
      <w:tr w:rsidR="00A07E42" w:rsidRPr="00F97938" w:rsidTr="00907CD6">
        <w:trPr>
          <w:gridBefore w:val="1"/>
          <w:wBefore w:w="40" w:type="dxa"/>
        </w:trPr>
        <w:tc>
          <w:tcPr>
            <w:tcW w:w="4071" w:type="dxa"/>
            <w:tcBorders>
              <w:left w:val="nil"/>
              <w:right w:val="nil"/>
            </w:tcBorders>
          </w:tcPr>
          <w:p w:rsidR="00A07E42" w:rsidRDefault="00A07E42" w:rsidP="00C97880">
            <w:pPr>
              <w:rPr>
                <w:rFonts w:cs="Calibri"/>
                <w:b/>
              </w:rPr>
            </w:pPr>
          </w:p>
          <w:p w:rsidR="00A07E42" w:rsidRDefault="00A07E42" w:rsidP="00C97880">
            <w:pPr>
              <w:rPr>
                <w:rFonts w:cs="Calibri"/>
                <w:b/>
              </w:rPr>
            </w:pPr>
          </w:p>
          <w:p w:rsidR="00A07E42" w:rsidRPr="00D03DF9" w:rsidRDefault="00A07E42" w:rsidP="00C97880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N</w:t>
            </w:r>
            <w:r w:rsidRPr="00567D4C">
              <w:rPr>
                <w:rFonts w:cs="Calibri"/>
                <w:b/>
                <w:szCs w:val="22"/>
              </w:rPr>
              <w:t>ačini ocenjevanja: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hideMark/>
          </w:tcPr>
          <w:p w:rsidR="00A07E42" w:rsidRDefault="00A07E42" w:rsidP="00C97880">
            <w:pPr>
              <w:ind w:left="-57"/>
              <w:rPr>
                <w:rFonts w:cs="Calibri"/>
              </w:rPr>
            </w:pPr>
          </w:p>
          <w:p w:rsidR="00A07E42" w:rsidRPr="00F97938" w:rsidRDefault="00A07E42" w:rsidP="00907CD6">
            <w:pPr>
              <w:ind w:left="-57" w:firstLine="148"/>
              <w:rPr>
                <w:rFonts w:cs="Calibri"/>
              </w:rPr>
            </w:pPr>
            <w:r w:rsidRPr="00F97938">
              <w:rPr>
                <w:rFonts w:cs="Calibri"/>
              </w:rPr>
              <w:t>Delež (v %)</w:t>
            </w:r>
          </w:p>
          <w:p w:rsidR="00A07E42" w:rsidRPr="00F97938" w:rsidRDefault="00A07E42" w:rsidP="00907CD6">
            <w:pPr>
              <w:ind w:left="-57" w:right="-198" w:firstLine="148"/>
              <w:rPr>
                <w:rFonts w:cs="Calibri"/>
              </w:rPr>
            </w:pPr>
            <w:proofErr w:type="spellStart"/>
            <w:r w:rsidRPr="00F97938">
              <w:rPr>
                <w:rFonts w:cs="Calibri"/>
              </w:rPr>
              <w:t>Weight</w:t>
            </w:r>
            <w:proofErr w:type="spellEnd"/>
            <w:r w:rsidRPr="00F97938">
              <w:rPr>
                <w:rFonts w:cs="Calibri"/>
              </w:rPr>
              <w:t xml:space="preserve"> (in %</w:t>
            </w:r>
            <w:r>
              <w:rPr>
                <w:rFonts w:cs="Calibri"/>
              </w:rPr>
              <w:t>)</w:t>
            </w:r>
          </w:p>
        </w:tc>
        <w:tc>
          <w:tcPr>
            <w:tcW w:w="3969" w:type="dxa"/>
            <w:gridSpan w:val="2"/>
            <w:tcBorders>
              <w:left w:val="nil"/>
              <w:right w:val="nil"/>
            </w:tcBorders>
          </w:tcPr>
          <w:p w:rsidR="00A07E42" w:rsidRDefault="00A07E42" w:rsidP="00C97880">
            <w:pPr>
              <w:ind w:left="222"/>
              <w:rPr>
                <w:rFonts w:cs="Calibri"/>
              </w:rPr>
            </w:pPr>
          </w:p>
          <w:p w:rsidR="00A07E42" w:rsidRPr="00F97938" w:rsidRDefault="00A07E42" w:rsidP="00C97880">
            <w:pPr>
              <w:ind w:left="-5724"/>
              <w:rPr>
                <w:rFonts w:cs="Calibri"/>
              </w:rPr>
            </w:pPr>
          </w:p>
          <w:p w:rsidR="00A07E42" w:rsidRPr="00F97938" w:rsidRDefault="00A07E42" w:rsidP="00C97880">
            <w:pPr>
              <w:rPr>
                <w:rFonts w:cs="Calibri"/>
              </w:rPr>
            </w:pPr>
            <w:proofErr w:type="spellStart"/>
            <w:r w:rsidRPr="00F97938">
              <w:rPr>
                <w:rFonts w:cs="Calibri"/>
                <w:b/>
                <w:szCs w:val="22"/>
              </w:rPr>
              <w:t>Assessment</w:t>
            </w:r>
            <w:proofErr w:type="spellEnd"/>
            <w:r w:rsidRPr="00F97938">
              <w:rPr>
                <w:rFonts w:cs="Calibri"/>
                <w:b/>
                <w:szCs w:val="22"/>
              </w:rPr>
              <w:t>:</w:t>
            </w:r>
          </w:p>
        </w:tc>
      </w:tr>
      <w:tr w:rsidR="00A07E42" w:rsidRPr="00627220" w:rsidTr="00907CD6">
        <w:trPr>
          <w:gridBefore w:val="1"/>
          <w:wBefore w:w="40" w:type="dxa"/>
          <w:trHeight w:val="533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CD6" w:rsidRDefault="00A07E42" w:rsidP="00C97880">
            <w:pPr>
              <w:rPr>
                <w:rFonts w:cs="Calibri"/>
              </w:rPr>
            </w:pPr>
            <w:r>
              <w:rPr>
                <w:rFonts w:cs="Calibri"/>
              </w:rPr>
              <w:t xml:space="preserve">Način: laboratorijske vaje, </w:t>
            </w:r>
            <w:r w:rsidR="00907CD6">
              <w:rPr>
                <w:rFonts w:cs="Calibri"/>
              </w:rPr>
              <w:t>seminar, pisni izpit, ustni izpit.</w:t>
            </w:r>
          </w:p>
          <w:p w:rsidR="00A07E42" w:rsidRDefault="00A07E42" w:rsidP="00C97880">
            <w:pPr>
              <w:rPr>
                <w:rFonts w:cs="Calibri"/>
              </w:rPr>
            </w:pPr>
            <w:r>
              <w:t xml:space="preserve">Opravljene laboratorijske vaje </w:t>
            </w:r>
            <w:r w:rsidR="00907CD6">
              <w:t xml:space="preserve">in seminar </w:t>
            </w:r>
            <w:r>
              <w:t>so pogoj za pristop h končnemu izpitu.</w:t>
            </w:r>
          </w:p>
          <w:p w:rsidR="00A07E42" w:rsidRDefault="00A07E42" w:rsidP="00C97880">
            <w:r>
              <w:t>Ocene od 1 do vključno 5 so negativne, ocene od vključno 6 do 10 so pozitivne.</w:t>
            </w:r>
          </w:p>
          <w:p w:rsidR="00763E5E" w:rsidRDefault="00763E5E" w:rsidP="00C97880"/>
          <w:p w:rsidR="00A07E42" w:rsidRDefault="00A07E42" w:rsidP="00C97880">
            <w:r>
              <w:t>Prispevki k oceni:</w:t>
            </w:r>
          </w:p>
          <w:p w:rsidR="00907CD6" w:rsidRDefault="00907CD6" w:rsidP="00763E5E">
            <w:pPr>
              <w:pStyle w:val="ListParagraph"/>
              <w:numPr>
                <w:ilvl w:val="0"/>
                <w:numId w:val="4"/>
              </w:numPr>
            </w:pPr>
            <w:r>
              <w:t>seminar</w:t>
            </w:r>
          </w:p>
          <w:p w:rsidR="00A07E42" w:rsidRDefault="00A07E42" w:rsidP="00763E5E">
            <w:pPr>
              <w:pStyle w:val="ListParagraph"/>
              <w:numPr>
                <w:ilvl w:val="0"/>
                <w:numId w:val="4"/>
              </w:numPr>
            </w:pPr>
            <w:r>
              <w:t>pisni izpit</w:t>
            </w:r>
          </w:p>
          <w:p w:rsidR="00A07E42" w:rsidRPr="004678F5" w:rsidRDefault="00A07E42" w:rsidP="00763E5E">
            <w:pPr>
              <w:pStyle w:val="ListParagraph"/>
              <w:numPr>
                <w:ilvl w:val="0"/>
                <w:numId w:val="4"/>
              </w:numPr>
            </w:pPr>
            <w:r>
              <w:t>ustni izpit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7CD6" w:rsidRDefault="00907CD6" w:rsidP="00C9788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30%</w:t>
            </w:r>
          </w:p>
          <w:p w:rsidR="00A07E42" w:rsidRDefault="00907CD6" w:rsidP="00C9788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  <w:r w:rsidR="00A07E42" w:rsidRPr="00627220">
              <w:rPr>
                <w:rFonts w:cs="Calibri"/>
              </w:rPr>
              <w:t>0%</w:t>
            </w:r>
          </w:p>
          <w:p w:rsidR="00A07E42" w:rsidRPr="00627220" w:rsidRDefault="00907CD6" w:rsidP="00C9788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  <w:r w:rsidR="00A07E42">
              <w:rPr>
                <w:rFonts w:cs="Calibri"/>
              </w:rPr>
              <w:t>0%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CD6" w:rsidRDefault="00A07E42" w:rsidP="00C97880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 xml:space="preserve">Type: laboratory exercises, </w:t>
            </w:r>
            <w:r w:rsidR="00907CD6">
              <w:rPr>
                <w:rFonts w:cs="Calibri"/>
                <w:lang w:val="en-GB"/>
              </w:rPr>
              <w:t xml:space="preserve">seminar, </w:t>
            </w:r>
            <w:r w:rsidRPr="0023428D">
              <w:rPr>
                <w:rFonts w:cs="Calibri"/>
                <w:lang w:val="en-GB"/>
              </w:rPr>
              <w:t>written exam, oral exam.</w:t>
            </w:r>
          </w:p>
          <w:p w:rsidR="00A07E42" w:rsidRDefault="00A07E42" w:rsidP="00C97880">
            <w:pPr>
              <w:rPr>
                <w:rFonts w:cs="Calibri"/>
                <w:lang w:val="en-GB"/>
              </w:rPr>
            </w:pPr>
            <w:r>
              <w:rPr>
                <w:lang w:val="en-GB"/>
              </w:rPr>
              <w:t xml:space="preserve">Conducted laboratory assignments </w:t>
            </w:r>
            <w:r w:rsidR="00907CD6">
              <w:rPr>
                <w:lang w:val="en-GB"/>
              </w:rPr>
              <w:t xml:space="preserve">and seminar </w:t>
            </w:r>
            <w:r>
              <w:rPr>
                <w:lang w:val="en-GB"/>
              </w:rPr>
              <w:t>present a condition for undertaking the final exam</w:t>
            </w:r>
            <w:r>
              <w:rPr>
                <w:rFonts w:cs="Calibri"/>
              </w:rPr>
              <w:t>.</w:t>
            </w:r>
          </w:p>
          <w:p w:rsidR="00A07E42" w:rsidRPr="0023428D" w:rsidRDefault="00A07E42" w:rsidP="00C97880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>Negative grades:</w:t>
            </w:r>
            <w:r>
              <w:rPr>
                <w:rFonts w:cs="Calibri"/>
                <w:lang w:val="en-GB"/>
              </w:rPr>
              <w:t xml:space="preserve"> from 1 to 5, positive grades: </w:t>
            </w:r>
            <w:r w:rsidRPr="0023428D">
              <w:rPr>
                <w:rFonts w:cs="Calibri"/>
                <w:lang w:val="en-GB"/>
              </w:rPr>
              <w:t xml:space="preserve">from 6 to 10. </w:t>
            </w:r>
          </w:p>
          <w:p w:rsidR="00763E5E" w:rsidRDefault="00763E5E" w:rsidP="00C97880">
            <w:pPr>
              <w:rPr>
                <w:rFonts w:cs="Calibri"/>
                <w:lang w:val="en-GB"/>
              </w:rPr>
            </w:pPr>
          </w:p>
          <w:p w:rsidR="00A07E42" w:rsidRDefault="00A07E42" w:rsidP="00C97880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>Contributions to final grade:</w:t>
            </w:r>
          </w:p>
          <w:p w:rsidR="00907CD6" w:rsidRPr="00763E5E" w:rsidRDefault="00907CD6" w:rsidP="00763E5E">
            <w:pPr>
              <w:pStyle w:val="ListParagraph"/>
              <w:numPr>
                <w:ilvl w:val="0"/>
                <w:numId w:val="5"/>
              </w:numPr>
              <w:rPr>
                <w:rFonts w:cs="Calibri"/>
                <w:lang w:val="en-GB"/>
              </w:rPr>
            </w:pPr>
            <w:r w:rsidRPr="00763E5E">
              <w:rPr>
                <w:rFonts w:cs="Calibri"/>
                <w:lang w:val="en-GB"/>
              </w:rPr>
              <w:t>seminar</w:t>
            </w:r>
          </w:p>
          <w:p w:rsidR="00A07E42" w:rsidRPr="00763E5E" w:rsidRDefault="00A07E42" w:rsidP="00763E5E">
            <w:pPr>
              <w:pStyle w:val="ListParagraph"/>
              <w:numPr>
                <w:ilvl w:val="0"/>
                <w:numId w:val="5"/>
              </w:numPr>
              <w:rPr>
                <w:lang w:val="en-GB"/>
              </w:rPr>
            </w:pPr>
            <w:r w:rsidRPr="00763E5E">
              <w:rPr>
                <w:lang w:val="en-GB"/>
              </w:rPr>
              <w:t>written exam</w:t>
            </w:r>
          </w:p>
          <w:p w:rsidR="00A07E42" w:rsidRPr="00763E5E" w:rsidRDefault="00A07E42" w:rsidP="00763E5E">
            <w:pPr>
              <w:pStyle w:val="ListParagraph"/>
              <w:numPr>
                <w:ilvl w:val="0"/>
                <w:numId w:val="5"/>
              </w:numPr>
              <w:rPr>
                <w:lang w:val="en-GB"/>
              </w:rPr>
            </w:pPr>
            <w:r w:rsidRPr="00763E5E">
              <w:rPr>
                <w:lang w:val="en-GB"/>
              </w:rPr>
              <w:t>oral examination</w:t>
            </w:r>
          </w:p>
        </w:tc>
      </w:tr>
      <w:tr w:rsidR="000B2261" w:rsidTr="0097773B">
        <w:trPr>
          <w:gridAfter w:val="1"/>
          <w:wAfter w:w="91" w:type="dxa"/>
        </w:trPr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A07E42" w:rsidRDefault="00A07E42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0B2261" w:rsidTr="0097773B">
        <w:trPr>
          <w:gridAfter w:val="1"/>
          <w:wAfter w:w="91" w:type="dxa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42" w:rsidRPr="00087F83" w:rsidRDefault="00A07E42" w:rsidP="00087F83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eastAsia="Times New Roman" w:hAnsi="Times New Roman"/>
              </w:rPr>
            </w:pPr>
            <w:bookmarkStart w:id="6" w:name="1"/>
            <w:r w:rsidRPr="00087F83">
              <w:rPr>
                <w:rFonts w:ascii="Times New Roman" w:eastAsia="Times New Roman" w:hAnsi="Times New Roman"/>
              </w:rPr>
              <w:t xml:space="preserve">SEIF,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Johannes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Peter, DESCOEUDRES,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Antoine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, FILIPIČ, Miha, </w:t>
            </w:r>
            <w:r w:rsidRPr="00087F83">
              <w:rPr>
                <w:rFonts w:ascii="Times New Roman" w:eastAsia="Times New Roman" w:hAnsi="Times New Roman"/>
                <w:u w:val="single"/>
              </w:rPr>
              <w:t>SMOLE, Franc</w:t>
            </w:r>
            <w:r w:rsidRPr="00087F83">
              <w:rPr>
                <w:rFonts w:ascii="Times New Roman" w:eastAsia="Times New Roman" w:hAnsi="Times New Roman"/>
              </w:rPr>
              <w:t xml:space="preserve">, TOPIČ, Marko, HOLMAN,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Zachary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Charles, DE WOLF,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Stefaan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, BALLIF,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Christophe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Amorphous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silicon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oxide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window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layers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for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high-efficiency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silicon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heterojunction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solar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cells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087F83">
              <w:rPr>
                <w:rFonts w:ascii="Times New Roman" w:eastAsia="Times New Roman" w:hAnsi="Times New Roman"/>
                <w:i/>
                <w:iCs/>
              </w:rPr>
              <w:t>Journal</w:t>
            </w:r>
            <w:proofErr w:type="spellEnd"/>
            <w:r w:rsidRPr="00087F83">
              <w:rPr>
                <w:rFonts w:ascii="Times New Roman" w:eastAsia="Times New Roman" w:hAnsi="Times New Roman"/>
                <w:i/>
                <w:iCs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  <w:i/>
                <w:iCs/>
              </w:rPr>
              <w:t>of</w:t>
            </w:r>
            <w:proofErr w:type="spellEnd"/>
            <w:r w:rsidRPr="00087F83">
              <w:rPr>
                <w:rFonts w:ascii="Times New Roman" w:eastAsia="Times New Roman" w:hAnsi="Times New Roman"/>
                <w:i/>
                <w:iCs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  <w:i/>
                <w:iCs/>
              </w:rPr>
              <w:t>applied</w:t>
            </w:r>
            <w:proofErr w:type="spellEnd"/>
            <w:r w:rsidRPr="00087F83">
              <w:rPr>
                <w:rFonts w:ascii="Times New Roman" w:eastAsia="Times New Roman" w:hAnsi="Times New Roman"/>
                <w:i/>
                <w:iCs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  <w:i/>
                <w:iCs/>
              </w:rPr>
              <w:t>physics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>, 2014, vol. 115, no. 2, str. 1-8.</w:t>
            </w:r>
          </w:p>
          <w:p w:rsidR="00A07E42" w:rsidRPr="00873230" w:rsidRDefault="00A07E42" w:rsidP="00087F83">
            <w:pPr>
              <w:rPr>
                <w:rFonts w:ascii="Times New Roman" w:eastAsia="Times New Roman" w:hAnsi="Times New Roman"/>
                <w:b/>
                <w:bCs/>
                <w:sz w:val="8"/>
                <w:szCs w:val="8"/>
              </w:rPr>
            </w:pPr>
          </w:p>
          <w:p w:rsidR="00A07E42" w:rsidRPr="00087F83" w:rsidRDefault="00A07E42" w:rsidP="00087F83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eastAsia="Times New Roman" w:hAnsi="Times New Roman"/>
              </w:rPr>
            </w:pPr>
            <w:r w:rsidRPr="00087F83">
              <w:rPr>
                <w:rFonts w:ascii="Times New Roman" w:eastAsia="Times New Roman" w:hAnsi="Times New Roman"/>
              </w:rPr>
              <w:t xml:space="preserve">FILIPIČ, Miha, HOLMAN,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Zachary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, </w:t>
            </w:r>
            <w:r w:rsidRPr="00087F83">
              <w:rPr>
                <w:rFonts w:ascii="Times New Roman" w:eastAsia="Times New Roman" w:hAnsi="Times New Roman"/>
                <w:u w:val="single"/>
              </w:rPr>
              <w:t>SMOLE, Franc</w:t>
            </w:r>
            <w:r w:rsidRPr="00087F83">
              <w:rPr>
                <w:rFonts w:ascii="Times New Roman" w:eastAsia="Times New Roman" w:hAnsi="Times New Roman"/>
              </w:rPr>
              <w:t xml:space="preserve">, DE WOLF,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Stefaan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, BALLIF,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Christophe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, TOPIČ, Marko.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Analysis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of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lateral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transport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through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the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inversion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layer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in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amorphous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silicon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>/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crystalline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silicon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heterojunction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solar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cells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087F83">
              <w:rPr>
                <w:rFonts w:ascii="Times New Roman" w:eastAsia="Times New Roman" w:hAnsi="Times New Roman"/>
                <w:i/>
                <w:iCs/>
              </w:rPr>
              <w:t>Journal</w:t>
            </w:r>
            <w:proofErr w:type="spellEnd"/>
            <w:r w:rsidRPr="00087F83">
              <w:rPr>
                <w:rFonts w:ascii="Times New Roman" w:eastAsia="Times New Roman" w:hAnsi="Times New Roman"/>
                <w:i/>
                <w:iCs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  <w:i/>
                <w:iCs/>
              </w:rPr>
              <w:t>of</w:t>
            </w:r>
            <w:proofErr w:type="spellEnd"/>
            <w:r w:rsidRPr="00087F83">
              <w:rPr>
                <w:rFonts w:ascii="Times New Roman" w:eastAsia="Times New Roman" w:hAnsi="Times New Roman"/>
                <w:i/>
                <w:iCs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  <w:i/>
                <w:iCs/>
              </w:rPr>
              <w:t>applied</w:t>
            </w:r>
            <w:proofErr w:type="spellEnd"/>
            <w:r w:rsidRPr="00087F83">
              <w:rPr>
                <w:rFonts w:ascii="Times New Roman" w:eastAsia="Times New Roman" w:hAnsi="Times New Roman"/>
                <w:i/>
                <w:iCs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  <w:i/>
                <w:iCs/>
              </w:rPr>
              <w:t>physics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>, 2013, vol. 114, no. 7, str. 1-7.</w:t>
            </w:r>
          </w:p>
          <w:p w:rsidR="00A07E42" w:rsidRPr="00873230" w:rsidRDefault="00A07E42" w:rsidP="00087F83">
            <w:pPr>
              <w:rPr>
                <w:rFonts w:ascii="Times New Roman" w:eastAsia="Times New Roman" w:hAnsi="Times New Roman"/>
                <w:b/>
                <w:bCs/>
                <w:sz w:val="8"/>
                <w:szCs w:val="8"/>
              </w:rPr>
            </w:pPr>
          </w:p>
          <w:p w:rsidR="00A07E42" w:rsidRPr="00087F83" w:rsidRDefault="00A07E42" w:rsidP="00087F83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eastAsia="Times New Roman" w:hAnsi="Times New Roman"/>
              </w:rPr>
            </w:pPr>
            <w:r w:rsidRPr="00087F83">
              <w:rPr>
                <w:rFonts w:ascii="Times New Roman" w:eastAsia="Times New Roman" w:hAnsi="Times New Roman"/>
              </w:rPr>
              <w:t xml:space="preserve">HOLMAN,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Zachary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, FILIPIČ, Miha, LIPOVŠEK, Benjamin, DE WOLF,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Stefaan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, </w:t>
            </w:r>
            <w:r w:rsidRPr="00087F83">
              <w:rPr>
                <w:rFonts w:ascii="Times New Roman" w:eastAsia="Times New Roman" w:hAnsi="Times New Roman"/>
                <w:u w:val="single"/>
              </w:rPr>
              <w:t>SMOLE, Franc</w:t>
            </w:r>
            <w:r w:rsidRPr="00087F83">
              <w:rPr>
                <w:rFonts w:ascii="Times New Roman" w:eastAsia="Times New Roman" w:hAnsi="Times New Roman"/>
              </w:rPr>
              <w:t xml:space="preserve">, TOPIČ, Marko, BALLIF,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Christophe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Parasitic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absorption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in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the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rear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reflector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of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a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silicon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solar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cell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: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simulation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and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measurement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of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the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sub-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bandgap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reflectance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for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common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dielectric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/metal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reflectors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. </w:t>
            </w:r>
            <w:r w:rsidRPr="00087F83">
              <w:rPr>
                <w:rFonts w:ascii="Times New Roman" w:eastAsia="Times New Roman" w:hAnsi="Times New Roman"/>
                <w:i/>
                <w:iCs/>
              </w:rPr>
              <w:t xml:space="preserve">Solar </w:t>
            </w:r>
            <w:proofErr w:type="spellStart"/>
            <w:r w:rsidRPr="00087F83">
              <w:rPr>
                <w:rFonts w:ascii="Times New Roman" w:eastAsia="Times New Roman" w:hAnsi="Times New Roman"/>
                <w:i/>
                <w:iCs/>
              </w:rPr>
              <w:t>energy</w:t>
            </w:r>
            <w:proofErr w:type="spellEnd"/>
            <w:r w:rsidRPr="00087F83">
              <w:rPr>
                <w:rFonts w:ascii="Times New Roman" w:eastAsia="Times New Roman" w:hAnsi="Times New Roman"/>
                <w:i/>
                <w:iCs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  <w:i/>
                <w:iCs/>
              </w:rPr>
              <w:t>materials</w:t>
            </w:r>
            <w:proofErr w:type="spellEnd"/>
            <w:r w:rsidRPr="00087F83">
              <w:rPr>
                <w:rFonts w:ascii="Times New Roman" w:eastAsia="Times New Roman" w:hAnsi="Times New Roman"/>
                <w:i/>
                <w:iCs/>
              </w:rPr>
              <w:t xml:space="preserve"> and solar </w:t>
            </w:r>
            <w:proofErr w:type="spellStart"/>
            <w:r w:rsidRPr="00087F83">
              <w:rPr>
                <w:rFonts w:ascii="Times New Roman" w:eastAsia="Times New Roman" w:hAnsi="Times New Roman"/>
                <w:i/>
                <w:iCs/>
              </w:rPr>
              <w:t>cells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>, [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Print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ed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>.], Jan. 2014,</w:t>
            </w:r>
            <w:r w:rsidR="0055790E">
              <w:rPr>
                <w:rFonts w:ascii="Times New Roman" w:eastAsia="Times New Roman" w:hAnsi="Times New Roman"/>
              </w:rPr>
              <w:t xml:space="preserve"> vol. 120, part A, str. 426-430</w:t>
            </w:r>
            <w:r w:rsidRPr="00087F83">
              <w:rPr>
                <w:rFonts w:ascii="Times New Roman" w:eastAsia="Times New Roman" w:hAnsi="Times New Roman"/>
              </w:rPr>
              <w:t>.</w:t>
            </w:r>
          </w:p>
          <w:p w:rsidR="00A07E42" w:rsidRPr="00873230" w:rsidRDefault="00A07E42" w:rsidP="00087F83">
            <w:pPr>
              <w:rPr>
                <w:rFonts w:ascii="Times New Roman" w:eastAsia="Times New Roman" w:hAnsi="Times New Roman"/>
                <w:b/>
                <w:bCs/>
                <w:sz w:val="8"/>
                <w:szCs w:val="8"/>
              </w:rPr>
            </w:pPr>
          </w:p>
          <w:p w:rsidR="00087F83" w:rsidRDefault="00A07E42" w:rsidP="00087F83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eastAsia="Times New Roman" w:hAnsi="Times New Roman"/>
              </w:rPr>
            </w:pPr>
            <w:r w:rsidRPr="00087F83">
              <w:rPr>
                <w:rFonts w:ascii="Times New Roman" w:eastAsia="Times New Roman" w:hAnsi="Times New Roman"/>
              </w:rPr>
              <w:t xml:space="preserve">FILIPIČ, Miha, BERGINC, Marko, </w:t>
            </w:r>
            <w:r w:rsidRPr="00087F83">
              <w:rPr>
                <w:rFonts w:ascii="Times New Roman" w:eastAsia="Times New Roman" w:hAnsi="Times New Roman"/>
                <w:u w:val="single"/>
              </w:rPr>
              <w:t>SMOLE, Franc</w:t>
            </w:r>
            <w:r w:rsidRPr="00087F83">
              <w:rPr>
                <w:rFonts w:ascii="Times New Roman" w:eastAsia="Times New Roman" w:hAnsi="Times New Roman"/>
              </w:rPr>
              <w:t xml:space="preserve">, TOPIČ, Marko.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Analysis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of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electron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recombination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in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dye-sensitized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solar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cell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087F83">
              <w:rPr>
                <w:rFonts w:ascii="Times New Roman" w:eastAsia="Times New Roman" w:hAnsi="Times New Roman"/>
                <w:i/>
                <w:iCs/>
              </w:rPr>
              <w:t>Current</w:t>
            </w:r>
            <w:proofErr w:type="spellEnd"/>
            <w:r w:rsidRPr="00087F83">
              <w:rPr>
                <w:rFonts w:ascii="Times New Roman" w:eastAsia="Times New Roman" w:hAnsi="Times New Roman"/>
                <w:i/>
                <w:iCs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  <w:i/>
                <w:iCs/>
              </w:rPr>
              <w:t>applied</w:t>
            </w:r>
            <w:proofErr w:type="spellEnd"/>
            <w:r w:rsidRPr="00087F83">
              <w:rPr>
                <w:rFonts w:ascii="Times New Roman" w:eastAsia="Times New Roman" w:hAnsi="Times New Roman"/>
                <w:i/>
                <w:iCs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  <w:i/>
                <w:iCs/>
              </w:rPr>
              <w:t>physics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>, Jan. 2012, vol. 12, no. 1, str. 238-246.</w:t>
            </w:r>
          </w:p>
          <w:p w:rsidR="000B2261" w:rsidRPr="00087F83" w:rsidRDefault="00A07E42" w:rsidP="0055790E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eastAsia="Times New Roman" w:hAnsi="Times New Roman"/>
              </w:rPr>
            </w:pPr>
            <w:r w:rsidRPr="00087F83">
              <w:rPr>
                <w:rFonts w:ascii="Times New Roman" w:eastAsia="Times New Roman" w:hAnsi="Times New Roman"/>
              </w:rPr>
              <w:t xml:space="preserve">NERAT, Marko, </w:t>
            </w:r>
            <w:r w:rsidRPr="00087F83">
              <w:rPr>
                <w:rFonts w:ascii="Times New Roman" w:eastAsia="Times New Roman" w:hAnsi="Times New Roman"/>
                <w:u w:val="single"/>
              </w:rPr>
              <w:t>SMOLE, Franc</w:t>
            </w:r>
            <w:r w:rsidRPr="00087F83">
              <w:rPr>
                <w:rFonts w:ascii="Times New Roman" w:eastAsia="Times New Roman" w:hAnsi="Times New Roman"/>
              </w:rPr>
              <w:t xml:space="preserve">, TOPIČ, Marko. A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simulation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study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of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the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effect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of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the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diverse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valence-band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offset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and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the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electronic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activity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at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the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grain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boundaries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on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the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performance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of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polycrystalline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Cu(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In,Ga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)Se2 solar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cells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087F83">
              <w:rPr>
                <w:rFonts w:ascii="Times New Roman" w:eastAsia="Times New Roman" w:hAnsi="Times New Roman"/>
                <w:i/>
                <w:iCs/>
              </w:rPr>
              <w:t>Thin</w:t>
            </w:r>
            <w:proofErr w:type="spellEnd"/>
            <w:r w:rsidRPr="00087F83">
              <w:rPr>
                <w:rFonts w:ascii="Times New Roman" w:eastAsia="Times New Roman" w:hAnsi="Times New Roman"/>
                <w:i/>
                <w:iCs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  <w:i/>
                <w:iCs/>
              </w:rPr>
              <w:t>Solid</w:t>
            </w:r>
            <w:proofErr w:type="spellEnd"/>
            <w:r w:rsidRPr="00087F83">
              <w:rPr>
                <w:rFonts w:ascii="Times New Roman" w:eastAsia="Times New Roman" w:hAnsi="Times New Roman"/>
                <w:i/>
                <w:iCs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  <w:i/>
                <w:iCs/>
              </w:rPr>
              <w:t>Films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>, [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Print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087F83">
              <w:rPr>
                <w:rFonts w:ascii="Times New Roman" w:eastAsia="Times New Roman" w:hAnsi="Times New Roman"/>
              </w:rPr>
              <w:t>ed</w:t>
            </w:r>
            <w:proofErr w:type="spellEnd"/>
            <w:r w:rsidRPr="00087F83">
              <w:rPr>
                <w:rFonts w:ascii="Times New Roman" w:eastAsia="Times New Roman" w:hAnsi="Times New Roman"/>
              </w:rPr>
              <w:t>.], 2011, vol. 519, no. 21, str. 7497-7502</w:t>
            </w:r>
            <w:bookmarkStart w:id="7" w:name="_GoBack"/>
            <w:bookmarkEnd w:id="7"/>
            <w:r w:rsidRPr="00087F83">
              <w:rPr>
                <w:rFonts w:ascii="Times New Roman" w:eastAsia="Times New Roman" w:hAnsi="Times New Roman"/>
              </w:rPr>
              <w:t>.</w:t>
            </w:r>
            <w:bookmarkEnd w:id="6"/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97D9F"/>
    <w:multiLevelType w:val="hybridMultilevel"/>
    <w:tmpl w:val="2C1A3A0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61FD7"/>
    <w:multiLevelType w:val="hybridMultilevel"/>
    <w:tmpl w:val="76481C06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450C1"/>
    <w:multiLevelType w:val="hybridMultilevel"/>
    <w:tmpl w:val="882C6D7E"/>
    <w:lvl w:ilvl="0" w:tplc="1536FF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53CE7"/>
    <w:multiLevelType w:val="hybridMultilevel"/>
    <w:tmpl w:val="79C606D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6C6FF4"/>
    <w:multiLevelType w:val="hybridMultilevel"/>
    <w:tmpl w:val="57C22860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703E4"/>
    <w:rsid w:val="00087F83"/>
    <w:rsid w:val="000B2261"/>
    <w:rsid w:val="000C2C3D"/>
    <w:rsid w:val="000E605D"/>
    <w:rsid w:val="000F2D1A"/>
    <w:rsid w:val="000F41E9"/>
    <w:rsid w:val="00146388"/>
    <w:rsid w:val="001509CC"/>
    <w:rsid w:val="0018213C"/>
    <w:rsid w:val="001B60F1"/>
    <w:rsid w:val="001C5CD1"/>
    <w:rsid w:val="001D5408"/>
    <w:rsid w:val="00207896"/>
    <w:rsid w:val="002400A9"/>
    <w:rsid w:val="002548EE"/>
    <w:rsid w:val="002724BA"/>
    <w:rsid w:val="002F300A"/>
    <w:rsid w:val="00384EDA"/>
    <w:rsid w:val="003D48ED"/>
    <w:rsid w:val="003E61C3"/>
    <w:rsid w:val="0049728E"/>
    <w:rsid w:val="004D6761"/>
    <w:rsid w:val="00530AB8"/>
    <w:rsid w:val="0053523E"/>
    <w:rsid w:val="0055790E"/>
    <w:rsid w:val="005903BA"/>
    <w:rsid w:val="006253E7"/>
    <w:rsid w:val="006432C5"/>
    <w:rsid w:val="00675839"/>
    <w:rsid w:val="006773CE"/>
    <w:rsid w:val="00763E5E"/>
    <w:rsid w:val="00784B8D"/>
    <w:rsid w:val="007B5E3F"/>
    <w:rsid w:val="007F1CE8"/>
    <w:rsid w:val="007F2B77"/>
    <w:rsid w:val="0082408F"/>
    <w:rsid w:val="008F6996"/>
    <w:rsid w:val="00900FF4"/>
    <w:rsid w:val="00907CD6"/>
    <w:rsid w:val="0095150D"/>
    <w:rsid w:val="0097773B"/>
    <w:rsid w:val="0099267E"/>
    <w:rsid w:val="009C5723"/>
    <w:rsid w:val="00A024F8"/>
    <w:rsid w:val="00A02BF5"/>
    <w:rsid w:val="00A07E42"/>
    <w:rsid w:val="00A54BBB"/>
    <w:rsid w:val="00AE692F"/>
    <w:rsid w:val="00B12423"/>
    <w:rsid w:val="00B17FF5"/>
    <w:rsid w:val="00B37024"/>
    <w:rsid w:val="00B87B5F"/>
    <w:rsid w:val="00BA1F90"/>
    <w:rsid w:val="00C043A7"/>
    <w:rsid w:val="00C16E51"/>
    <w:rsid w:val="00C24EE7"/>
    <w:rsid w:val="00C44581"/>
    <w:rsid w:val="00C67BC7"/>
    <w:rsid w:val="00D3785B"/>
    <w:rsid w:val="00D60066"/>
    <w:rsid w:val="00D6782B"/>
    <w:rsid w:val="00D826CD"/>
    <w:rsid w:val="00E948BA"/>
    <w:rsid w:val="00EF7242"/>
    <w:rsid w:val="00F11794"/>
    <w:rsid w:val="00F41409"/>
    <w:rsid w:val="00F547F3"/>
    <w:rsid w:val="00F76159"/>
    <w:rsid w:val="00F8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1B797-45B7-48CF-9559-E1098683D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  <w:style w:type="character" w:customStyle="1" w:styleId="shorttext">
    <w:name w:val="short_text"/>
    <w:basedOn w:val="DefaultParagraphFont"/>
    <w:rsid w:val="002400A9"/>
  </w:style>
  <w:style w:type="character" w:customStyle="1" w:styleId="hps">
    <w:name w:val="hps"/>
    <w:basedOn w:val="DefaultParagraphFont"/>
    <w:rsid w:val="00240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6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A17E7BF-0998-49FD-8513-1725A119E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1078</Words>
  <Characters>6150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12</cp:revision>
  <dcterms:created xsi:type="dcterms:W3CDTF">2015-03-16T10:01:00Z</dcterms:created>
  <dcterms:modified xsi:type="dcterms:W3CDTF">2016-06-02T20:24:00Z</dcterms:modified>
</cp:coreProperties>
</file>